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23" w:rsidRPr="00073523" w:rsidRDefault="00073523" w:rsidP="00ED19DD">
      <w:pPr>
        <w:pStyle w:val="Titolo1"/>
      </w:pPr>
      <w:r w:rsidRPr="00073523">
        <w:t>BILANCIO AL 31/12/201</w:t>
      </w:r>
      <w:r w:rsidR="006E2095">
        <w:t>9</w:t>
      </w:r>
    </w:p>
    <w:p w:rsidR="00BD11F4" w:rsidRPr="00073523" w:rsidRDefault="00073523" w:rsidP="00073523">
      <w:pPr>
        <w:jc w:val="center"/>
        <w:rPr>
          <w:b/>
          <w:sz w:val="24"/>
          <w:szCs w:val="24"/>
        </w:rPr>
      </w:pPr>
      <w:r w:rsidRPr="00073523">
        <w:rPr>
          <w:b/>
          <w:sz w:val="24"/>
          <w:szCs w:val="24"/>
        </w:rPr>
        <w:t>Relazione sulla Missione</w:t>
      </w:r>
    </w:p>
    <w:p w:rsidR="006E2095" w:rsidRPr="006E2095" w:rsidRDefault="006E2095" w:rsidP="006E2095">
      <w:p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Con l’approvazione del Bilancio 2018,</w:t>
      </w:r>
      <w:r w:rsidR="005E7F54">
        <w:rPr>
          <w:b/>
          <w:sz w:val="24"/>
          <w:szCs w:val="24"/>
        </w:rPr>
        <w:t>avvenuta nel Consiglio del 12 Aprile 2019,</w:t>
      </w:r>
      <w:r w:rsidRPr="006E2095">
        <w:rPr>
          <w:b/>
          <w:sz w:val="24"/>
          <w:szCs w:val="24"/>
        </w:rPr>
        <w:t xml:space="preserve"> </w:t>
      </w:r>
      <w:r w:rsidR="005E7F54">
        <w:rPr>
          <w:b/>
          <w:sz w:val="24"/>
          <w:szCs w:val="24"/>
        </w:rPr>
        <w:t xml:space="preserve">sono scaduti il </w:t>
      </w:r>
      <w:r w:rsidRPr="006E2095">
        <w:rPr>
          <w:b/>
          <w:sz w:val="24"/>
          <w:szCs w:val="24"/>
        </w:rPr>
        <w:t>Consiglio</w:t>
      </w:r>
      <w:r w:rsidR="005E7F54">
        <w:rPr>
          <w:b/>
          <w:sz w:val="24"/>
          <w:szCs w:val="24"/>
        </w:rPr>
        <w:t xml:space="preserve"> di Amministrazione</w:t>
      </w:r>
      <w:r w:rsidRPr="006E2095">
        <w:rPr>
          <w:b/>
          <w:sz w:val="24"/>
          <w:szCs w:val="24"/>
        </w:rPr>
        <w:t xml:space="preserve"> e</w:t>
      </w:r>
      <w:r w:rsidR="005E7F54">
        <w:rPr>
          <w:b/>
          <w:sz w:val="24"/>
          <w:szCs w:val="24"/>
        </w:rPr>
        <w:t xml:space="preserve">d il </w:t>
      </w:r>
      <w:r w:rsidRPr="006E2095">
        <w:rPr>
          <w:b/>
          <w:sz w:val="24"/>
          <w:szCs w:val="24"/>
        </w:rPr>
        <w:t xml:space="preserve"> Collegio dei Revisori</w:t>
      </w:r>
      <w:r w:rsidR="005E7F54">
        <w:rPr>
          <w:b/>
          <w:sz w:val="24"/>
          <w:szCs w:val="24"/>
        </w:rPr>
        <w:t xml:space="preserve">. Il Presidente aveva </w:t>
      </w:r>
      <w:r w:rsidRPr="006E2095">
        <w:rPr>
          <w:b/>
          <w:sz w:val="24"/>
          <w:szCs w:val="24"/>
        </w:rPr>
        <w:t xml:space="preserve"> provveduto, nei termini, a richiedere alle Istituzioni previste dallo Statuto e al Presidente dell’Ordine dei Dottori Commercialisti di Firenze, l’indicazione dei Rispettivi Consiglieri e Revisori per il triennio 2019,2020,2021. Le indicazioni sono state:</w:t>
      </w:r>
    </w:p>
    <w:p w:rsidR="006E2095" w:rsidRPr="006E2095" w:rsidRDefault="006E2095" w:rsidP="006E2095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Pr</w:t>
      </w:r>
      <w:r w:rsidR="005E7F54">
        <w:rPr>
          <w:b/>
          <w:sz w:val="24"/>
          <w:szCs w:val="24"/>
        </w:rPr>
        <w:t xml:space="preserve">of. FRANCESCO CAGLIOTI, </w:t>
      </w:r>
      <w:r w:rsidRPr="006E2095">
        <w:rPr>
          <w:b/>
          <w:sz w:val="24"/>
          <w:szCs w:val="24"/>
        </w:rPr>
        <w:t xml:space="preserve">storico dell'arte, designato dal </w:t>
      </w:r>
      <w:proofErr w:type="spellStart"/>
      <w:r w:rsidRPr="006E2095">
        <w:rPr>
          <w:b/>
          <w:sz w:val="24"/>
          <w:szCs w:val="24"/>
        </w:rPr>
        <w:t>Kunsthisorisches</w:t>
      </w:r>
      <w:proofErr w:type="spellEnd"/>
      <w:r w:rsidRPr="006E2095">
        <w:rPr>
          <w:b/>
          <w:sz w:val="24"/>
          <w:szCs w:val="24"/>
        </w:rPr>
        <w:t xml:space="preserve"> </w:t>
      </w:r>
      <w:proofErr w:type="spellStart"/>
      <w:r w:rsidRPr="006E2095">
        <w:rPr>
          <w:b/>
          <w:sz w:val="24"/>
          <w:szCs w:val="24"/>
        </w:rPr>
        <w:t>Institut</w:t>
      </w:r>
      <w:proofErr w:type="spellEnd"/>
      <w:r w:rsidRPr="006E2095">
        <w:rPr>
          <w:b/>
          <w:sz w:val="24"/>
          <w:szCs w:val="24"/>
        </w:rPr>
        <w:t>, con sede in Firenze.</w:t>
      </w:r>
    </w:p>
    <w:p w:rsidR="006E2095" w:rsidRPr="006E2095" w:rsidRDefault="006E2095" w:rsidP="006E2095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Pr</w:t>
      </w:r>
      <w:r w:rsidR="005E7F54">
        <w:rPr>
          <w:b/>
          <w:sz w:val="24"/>
          <w:szCs w:val="24"/>
        </w:rPr>
        <w:t xml:space="preserve">of. ALESSANDRO ANGELINI  </w:t>
      </w:r>
      <w:r w:rsidRPr="006E2095">
        <w:rPr>
          <w:b/>
          <w:sz w:val="24"/>
          <w:szCs w:val="24"/>
        </w:rPr>
        <w:t xml:space="preserve">storico  dell'arte,  nominato  da  Harvard  University  Center  for  the   </w:t>
      </w:r>
      <w:proofErr w:type="spellStart"/>
      <w:r w:rsidRPr="006E2095">
        <w:rPr>
          <w:b/>
          <w:sz w:val="24"/>
          <w:szCs w:val="24"/>
        </w:rPr>
        <w:t>italian</w:t>
      </w:r>
      <w:proofErr w:type="spellEnd"/>
      <w:r w:rsidRPr="006E2095">
        <w:rPr>
          <w:b/>
          <w:sz w:val="24"/>
          <w:szCs w:val="24"/>
        </w:rPr>
        <w:t xml:space="preserve">   </w:t>
      </w:r>
      <w:proofErr w:type="spellStart"/>
      <w:r w:rsidRPr="006E2095">
        <w:rPr>
          <w:b/>
          <w:sz w:val="24"/>
          <w:szCs w:val="24"/>
        </w:rPr>
        <w:t>Renaissance</w:t>
      </w:r>
      <w:proofErr w:type="spellEnd"/>
      <w:r w:rsidRPr="006E2095">
        <w:rPr>
          <w:b/>
          <w:sz w:val="24"/>
          <w:szCs w:val="24"/>
        </w:rPr>
        <w:t xml:space="preserve"> </w:t>
      </w:r>
      <w:proofErr w:type="spellStart"/>
      <w:r w:rsidRPr="006E2095">
        <w:rPr>
          <w:b/>
          <w:sz w:val="24"/>
          <w:szCs w:val="24"/>
        </w:rPr>
        <w:t>Studios</w:t>
      </w:r>
      <w:proofErr w:type="spellEnd"/>
      <w:r w:rsidRPr="006E2095">
        <w:rPr>
          <w:b/>
          <w:sz w:val="24"/>
          <w:szCs w:val="24"/>
        </w:rPr>
        <w:t xml:space="preserve"> </w:t>
      </w:r>
      <w:proofErr w:type="spellStart"/>
      <w:r w:rsidRPr="006E2095">
        <w:rPr>
          <w:b/>
          <w:sz w:val="24"/>
          <w:szCs w:val="24"/>
        </w:rPr>
        <w:t>Berenson</w:t>
      </w:r>
      <w:proofErr w:type="spellEnd"/>
      <w:r w:rsidRPr="006E2095">
        <w:rPr>
          <w:b/>
          <w:sz w:val="24"/>
          <w:szCs w:val="24"/>
        </w:rPr>
        <w:t xml:space="preserve"> Archi</w:t>
      </w:r>
      <w:r w:rsidR="005E7F54">
        <w:rPr>
          <w:b/>
          <w:sz w:val="24"/>
          <w:szCs w:val="24"/>
        </w:rPr>
        <w:t>ve.</w:t>
      </w:r>
    </w:p>
    <w:p w:rsidR="006E2095" w:rsidRPr="006E2095" w:rsidRDefault="005E7F54" w:rsidP="006E2095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Prof.ssa BARBARA SIBILIO </w:t>
      </w:r>
      <w:r w:rsidR="006E2095" w:rsidRPr="006E2095">
        <w:rPr>
          <w:b/>
          <w:sz w:val="24"/>
          <w:szCs w:val="24"/>
        </w:rPr>
        <w:t>ordinario di economia aziendale, nominata dal Dipartimento di Scienze per l'Economia e l'Impresa presso l'Università di Firenze.</w:t>
      </w:r>
    </w:p>
    <w:p w:rsidR="006E2095" w:rsidRPr="006E2095" w:rsidRDefault="006E2095" w:rsidP="006E2095">
      <w:pPr>
        <w:suppressAutoHyphens w:val="0"/>
        <w:autoSpaceDN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Inoltre è nominata come membro di diritto del Consiglio di Amministrazione la Dott.ssa PA</w:t>
      </w:r>
      <w:r w:rsidR="005E7F54">
        <w:rPr>
          <w:b/>
          <w:sz w:val="24"/>
          <w:szCs w:val="24"/>
        </w:rPr>
        <w:t>OLA D'AG</w:t>
      </w:r>
      <w:r w:rsidR="005E7F54">
        <w:rPr>
          <w:b/>
          <w:sz w:val="24"/>
          <w:szCs w:val="24"/>
        </w:rPr>
        <w:t>O</w:t>
      </w:r>
      <w:r w:rsidR="005E7F54">
        <w:rPr>
          <w:b/>
          <w:sz w:val="24"/>
          <w:szCs w:val="24"/>
        </w:rPr>
        <w:t xml:space="preserve">STINO </w:t>
      </w:r>
      <w:r w:rsidRPr="006E2095">
        <w:rPr>
          <w:b/>
          <w:sz w:val="24"/>
          <w:szCs w:val="24"/>
        </w:rPr>
        <w:t>attuale Direttrice del Museo Nazionale del Bargello di Firenze.</w:t>
      </w:r>
    </w:p>
    <w:p w:rsidR="005E7F54" w:rsidRDefault="006E2095" w:rsidP="005E7F54">
      <w:p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Infine sono stati indicati come componenti il C</w:t>
      </w:r>
      <w:r w:rsidR="005E7F54">
        <w:rPr>
          <w:b/>
          <w:sz w:val="24"/>
          <w:szCs w:val="24"/>
        </w:rPr>
        <w:t>ollegio dei Revisori i Dottori:</w:t>
      </w:r>
    </w:p>
    <w:p w:rsidR="005E7F54" w:rsidRDefault="006E2095" w:rsidP="005E7F54">
      <w:pPr>
        <w:pStyle w:val="Paragrafoelenco"/>
        <w:numPr>
          <w:ilvl w:val="0"/>
          <w:numId w:val="5"/>
        </w:num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5E7F54">
        <w:rPr>
          <w:b/>
          <w:sz w:val="24"/>
          <w:szCs w:val="24"/>
        </w:rPr>
        <w:t>Dott. Giuseppe Urso, Presidente</w:t>
      </w:r>
    </w:p>
    <w:p w:rsidR="008337B1" w:rsidRDefault="006E2095" w:rsidP="008337B1">
      <w:pPr>
        <w:pStyle w:val="Paragrafoelenco"/>
        <w:numPr>
          <w:ilvl w:val="0"/>
          <w:numId w:val="5"/>
        </w:num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5E7F54">
        <w:rPr>
          <w:b/>
          <w:sz w:val="24"/>
          <w:szCs w:val="24"/>
        </w:rPr>
        <w:t>Dott. Jacopo Conti</w:t>
      </w:r>
      <w:r w:rsidR="008337B1" w:rsidRPr="008337B1">
        <w:rPr>
          <w:b/>
          <w:sz w:val="24"/>
          <w:szCs w:val="24"/>
        </w:rPr>
        <w:t xml:space="preserve"> </w:t>
      </w:r>
    </w:p>
    <w:p w:rsidR="006E2095" w:rsidRPr="008337B1" w:rsidRDefault="008337B1" w:rsidP="008337B1">
      <w:pPr>
        <w:pStyle w:val="Paragrafoelenco"/>
        <w:numPr>
          <w:ilvl w:val="0"/>
          <w:numId w:val="5"/>
        </w:num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5E7F54">
        <w:rPr>
          <w:b/>
          <w:sz w:val="24"/>
          <w:szCs w:val="24"/>
        </w:rPr>
        <w:t>Dott. Domenico Antonio Mazzone</w:t>
      </w:r>
    </w:p>
    <w:p w:rsidR="005E7F54" w:rsidRDefault="006E2095" w:rsidP="006E2095">
      <w:pPr>
        <w:suppressAutoHyphens w:val="0"/>
        <w:autoSpaceDN/>
        <w:jc w:val="both"/>
        <w:textAlignment w:val="auto"/>
        <w:rPr>
          <w:b/>
          <w:sz w:val="24"/>
          <w:szCs w:val="24"/>
        </w:rPr>
      </w:pPr>
      <w:r w:rsidRPr="006E2095">
        <w:rPr>
          <w:b/>
          <w:sz w:val="24"/>
          <w:szCs w:val="24"/>
        </w:rPr>
        <w:t>La Fondazione Cassa  di  Risparm</w:t>
      </w:r>
      <w:r w:rsidR="005E7F54">
        <w:rPr>
          <w:b/>
          <w:sz w:val="24"/>
          <w:szCs w:val="24"/>
        </w:rPr>
        <w:t xml:space="preserve">io  di Firenze, </w:t>
      </w:r>
      <w:r w:rsidRPr="006E2095">
        <w:rPr>
          <w:b/>
          <w:sz w:val="24"/>
          <w:szCs w:val="24"/>
        </w:rPr>
        <w:t>ha declinato la indicazione del Consiglie</w:t>
      </w:r>
      <w:r w:rsidR="005E7F54">
        <w:rPr>
          <w:b/>
          <w:sz w:val="24"/>
          <w:szCs w:val="24"/>
        </w:rPr>
        <w:t>re di sua comp</w:t>
      </w:r>
      <w:r w:rsidR="005E7F54">
        <w:rPr>
          <w:b/>
          <w:sz w:val="24"/>
          <w:szCs w:val="24"/>
        </w:rPr>
        <w:t>e</w:t>
      </w:r>
      <w:r w:rsidR="005E7F54">
        <w:rPr>
          <w:b/>
          <w:sz w:val="24"/>
          <w:szCs w:val="24"/>
        </w:rPr>
        <w:t>tenza.</w:t>
      </w:r>
    </w:p>
    <w:p w:rsidR="006E2095" w:rsidRPr="006E2095" w:rsidRDefault="005E7F54" w:rsidP="006E2095">
      <w:pPr>
        <w:suppressAutoHyphens w:val="0"/>
        <w:autoSpaceDN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Sempre nella seduta del Consiglio del 12 Aprile 2019, </w:t>
      </w:r>
      <w:r w:rsidR="000C5242">
        <w:rPr>
          <w:b/>
          <w:sz w:val="24"/>
          <w:szCs w:val="24"/>
        </w:rPr>
        <w:t>i</w:t>
      </w:r>
      <w:r w:rsidR="006E2095" w:rsidRPr="006E2095">
        <w:rPr>
          <w:b/>
          <w:sz w:val="24"/>
          <w:szCs w:val="24"/>
        </w:rPr>
        <w:t xml:space="preserve"> quattro Consiglieri nominati, dopo aver accettato la cari</w:t>
      </w:r>
      <w:r>
        <w:rPr>
          <w:b/>
          <w:sz w:val="24"/>
          <w:szCs w:val="24"/>
        </w:rPr>
        <w:t xml:space="preserve">ca, hanno </w:t>
      </w:r>
      <w:r w:rsidR="006E2095" w:rsidRPr="006E2095">
        <w:rPr>
          <w:b/>
          <w:sz w:val="24"/>
          <w:szCs w:val="24"/>
        </w:rPr>
        <w:t xml:space="preserve"> coopta</w:t>
      </w:r>
      <w:r>
        <w:rPr>
          <w:b/>
          <w:sz w:val="24"/>
          <w:szCs w:val="24"/>
        </w:rPr>
        <w:t>to</w:t>
      </w:r>
      <w:r w:rsidR="006E2095" w:rsidRPr="006E2095">
        <w:rPr>
          <w:b/>
          <w:sz w:val="24"/>
          <w:szCs w:val="24"/>
        </w:rPr>
        <w:t xml:space="preserve"> all’unanimità il Dr. Sergio Chiostri e il Dott. Francesco </w:t>
      </w:r>
      <w:proofErr w:type="spellStart"/>
      <w:r w:rsidR="006E2095" w:rsidRPr="006E2095">
        <w:rPr>
          <w:b/>
          <w:sz w:val="24"/>
          <w:szCs w:val="24"/>
        </w:rPr>
        <w:t>Steidl</w:t>
      </w:r>
      <w:proofErr w:type="spellEnd"/>
      <w:r w:rsidR="006E2095" w:rsidRPr="006E2095">
        <w:rPr>
          <w:b/>
          <w:sz w:val="24"/>
          <w:szCs w:val="24"/>
        </w:rPr>
        <w:t>, e , sempre all’unanimità nomina</w:t>
      </w:r>
      <w:r>
        <w:rPr>
          <w:b/>
          <w:sz w:val="24"/>
          <w:szCs w:val="24"/>
        </w:rPr>
        <w:t>to</w:t>
      </w:r>
      <w:r w:rsidR="006E2095" w:rsidRPr="006E2095">
        <w:rPr>
          <w:b/>
          <w:sz w:val="24"/>
          <w:szCs w:val="24"/>
        </w:rPr>
        <w:t xml:space="preserve"> il Dr. Sergio Chiostri Presidente ed il </w:t>
      </w:r>
      <w:proofErr w:type="spellStart"/>
      <w:r w:rsidR="006E2095" w:rsidRPr="006E2095">
        <w:rPr>
          <w:b/>
          <w:sz w:val="24"/>
          <w:szCs w:val="24"/>
        </w:rPr>
        <w:t>Dr.Francesco</w:t>
      </w:r>
      <w:proofErr w:type="spellEnd"/>
      <w:r w:rsidR="006E2095" w:rsidRPr="006E2095">
        <w:rPr>
          <w:b/>
          <w:sz w:val="24"/>
          <w:szCs w:val="24"/>
        </w:rPr>
        <w:t xml:space="preserve"> </w:t>
      </w:r>
      <w:proofErr w:type="spellStart"/>
      <w:r w:rsidR="006E2095" w:rsidRPr="006E2095">
        <w:rPr>
          <w:b/>
          <w:sz w:val="24"/>
          <w:szCs w:val="24"/>
        </w:rPr>
        <w:t>Steidl</w:t>
      </w:r>
      <w:proofErr w:type="spellEnd"/>
      <w:r w:rsidR="006E2095" w:rsidRPr="006E2095">
        <w:rPr>
          <w:b/>
          <w:sz w:val="24"/>
          <w:szCs w:val="24"/>
        </w:rPr>
        <w:t xml:space="preserve"> Vice Presidente per il triennio 2019,2020,2021. Il Consiglio infine non</w:t>
      </w:r>
      <w:r>
        <w:rPr>
          <w:b/>
          <w:sz w:val="24"/>
          <w:szCs w:val="24"/>
        </w:rPr>
        <w:t xml:space="preserve"> ha rit</w:t>
      </w:r>
      <w:r w:rsidR="006E2095" w:rsidRPr="006E2095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uto</w:t>
      </w:r>
      <w:r w:rsidR="006E2095" w:rsidRPr="006E2095">
        <w:rPr>
          <w:b/>
          <w:sz w:val="24"/>
          <w:szCs w:val="24"/>
        </w:rPr>
        <w:t xml:space="preserve"> opportuno – viste le ridotte necessità amm</w:t>
      </w:r>
      <w:r w:rsidR="006E2095" w:rsidRPr="006E2095">
        <w:rPr>
          <w:b/>
          <w:sz w:val="24"/>
          <w:szCs w:val="24"/>
        </w:rPr>
        <w:t>i</w:t>
      </w:r>
      <w:r w:rsidR="006E2095" w:rsidRPr="006E2095">
        <w:rPr>
          <w:b/>
          <w:sz w:val="24"/>
          <w:szCs w:val="24"/>
        </w:rPr>
        <w:t xml:space="preserve">nistrative – di nominare un Segretario. </w:t>
      </w:r>
    </w:p>
    <w:p w:rsidR="000C5242" w:rsidRPr="000C5242" w:rsidRDefault="005E7F54" w:rsidP="000C52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 corso del 2019 sono terminati tutti i lavori di restauro delle proprietà immobiliari della Fondazione e sono stati pagati interamente i relativi costi.</w:t>
      </w:r>
      <w:r w:rsidR="000C5242">
        <w:rPr>
          <w:b/>
          <w:sz w:val="24"/>
          <w:szCs w:val="24"/>
        </w:rPr>
        <w:t xml:space="preserve"> Il </w:t>
      </w:r>
      <w:r w:rsidR="000C5242" w:rsidRPr="000C5242">
        <w:rPr>
          <w:b/>
          <w:sz w:val="24"/>
          <w:szCs w:val="24"/>
        </w:rPr>
        <w:t xml:space="preserve"> </w:t>
      </w:r>
      <w:r w:rsidR="000C5242">
        <w:rPr>
          <w:b/>
          <w:sz w:val="24"/>
          <w:szCs w:val="24"/>
        </w:rPr>
        <w:t xml:space="preserve">27 febbraio 2019 si è provveduto a rogitare </w:t>
      </w:r>
      <w:r w:rsidR="000C5242" w:rsidRPr="000C5242">
        <w:rPr>
          <w:b/>
          <w:sz w:val="24"/>
          <w:szCs w:val="24"/>
        </w:rPr>
        <w:t>l’appartamento nel Condominio Zenith in Sansepolcro</w:t>
      </w:r>
      <w:r w:rsidR="000C5242">
        <w:rPr>
          <w:b/>
          <w:sz w:val="24"/>
          <w:szCs w:val="24"/>
        </w:rPr>
        <w:t xml:space="preserve"> per un prezzo</w:t>
      </w:r>
      <w:r w:rsidR="000C5242" w:rsidRPr="000C5242">
        <w:rPr>
          <w:b/>
          <w:sz w:val="24"/>
          <w:szCs w:val="24"/>
        </w:rPr>
        <w:t xml:space="preserve"> </w:t>
      </w:r>
      <w:proofErr w:type="spellStart"/>
      <w:r w:rsidR="000C5242">
        <w:rPr>
          <w:b/>
          <w:sz w:val="24"/>
          <w:szCs w:val="24"/>
        </w:rPr>
        <w:t>prezzo</w:t>
      </w:r>
      <w:proofErr w:type="spellEnd"/>
      <w:r w:rsidR="000C5242">
        <w:rPr>
          <w:b/>
          <w:sz w:val="24"/>
          <w:szCs w:val="24"/>
        </w:rPr>
        <w:t xml:space="preserve"> di 90 mila Eur</w:t>
      </w:r>
      <w:r w:rsidR="008337B1">
        <w:rPr>
          <w:b/>
          <w:sz w:val="24"/>
          <w:szCs w:val="24"/>
        </w:rPr>
        <w:t>o</w:t>
      </w:r>
      <w:r w:rsidR="000C5242">
        <w:rPr>
          <w:b/>
          <w:sz w:val="24"/>
          <w:szCs w:val="24"/>
        </w:rPr>
        <w:t>, che era stato compromesso il giorno 28 dicembre 2018 giusta delibera del Consiglio del</w:t>
      </w:r>
      <w:r w:rsidR="00AC793C">
        <w:rPr>
          <w:b/>
          <w:sz w:val="24"/>
          <w:szCs w:val="24"/>
        </w:rPr>
        <w:t xml:space="preserve"> 26 Novembre 2018.</w:t>
      </w:r>
      <w:r w:rsidR="00147FA8">
        <w:rPr>
          <w:b/>
          <w:sz w:val="24"/>
          <w:szCs w:val="24"/>
        </w:rPr>
        <w:t xml:space="preserve"> Purtroppo si è trattato di un’operazione immobiliare sfortunata, in quanto detto appartamento è stato fonte di una serie di difficoltà e di oneri, cui si è aggiunta la crisi del mercato immobiliare, determinando  una rilevante  perdita per la Fondazione pari a Euro 66.000</w:t>
      </w:r>
      <w:r w:rsidR="00206B58">
        <w:rPr>
          <w:b/>
          <w:sz w:val="24"/>
          <w:szCs w:val="24"/>
        </w:rPr>
        <w:t>.</w:t>
      </w:r>
      <w:r w:rsidR="00147FA8">
        <w:rPr>
          <w:b/>
          <w:sz w:val="24"/>
          <w:szCs w:val="24"/>
        </w:rPr>
        <w:t xml:space="preserve"> </w:t>
      </w:r>
    </w:p>
    <w:p w:rsidR="00AA7354" w:rsidRDefault="00147F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Visto l’andamento positivo delle entrate per affitti e la cessazione di ulteriori lavori di manutenzione, nell’ottica di una semplificazione della struttura finanziaria della Fondazione, è stato possibile </w:t>
      </w:r>
      <w:r w:rsidRPr="00147FA8">
        <w:rPr>
          <w:b/>
          <w:sz w:val="24"/>
          <w:szCs w:val="24"/>
        </w:rPr>
        <w:t>provved</w:t>
      </w:r>
      <w:r>
        <w:rPr>
          <w:b/>
          <w:sz w:val="24"/>
          <w:szCs w:val="24"/>
        </w:rPr>
        <w:t>ere</w:t>
      </w:r>
      <w:r w:rsidRPr="00147FA8">
        <w:rPr>
          <w:b/>
          <w:sz w:val="24"/>
          <w:szCs w:val="24"/>
        </w:rPr>
        <w:t xml:space="preserve"> a chiuder</w:t>
      </w:r>
      <w:r>
        <w:rPr>
          <w:b/>
          <w:sz w:val="24"/>
          <w:szCs w:val="24"/>
        </w:rPr>
        <w:t xml:space="preserve">e due conti presso UBI che non erano più utili e a </w:t>
      </w:r>
      <w:r w:rsidRPr="00147FA8">
        <w:rPr>
          <w:b/>
          <w:sz w:val="24"/>
          <w:szCs w:val="24"/>
        </w:rPr>
        <w:t>rinuncia</w:t>
      </w:r>
      <w:r>
        <w:rPr>
          <w:b/>
          <w:sz w:val="24"/>
          <w:szCs w:val="24"/>
        </w:rPr>
        <w:t>re</w:t>
      </w:r>
      <w:r w:rsidRPr="00147FA8">
        <w:rPr>
          <w:b/>
          <w:sz w:val="24"/>
          <w:szCs w:val="24"/>
        </w:rPr>
        <w:t xml:space="preserve">  al fido di 22.000 Euro, sempre di UBI, cancellando così il pegno – che lo garantiva -  sui 25.000 Euro del Fondo </w:t>
      </w:r>
      <w:proofErr w:type="spellStart"/>
      <w:r w:rsidRPr="00147FA8">
        <w:rPr>
          <w:b/>
          <w:sz w:val="24"/>
          <w:szCs w:val="24"/>
        </w:rPr>
        <w:t>Pramerica</w:t>
      </w:r>
      <w:proofErr w:type="spellEnd"/>
      <w:r w:rsidRPr="00147FA8">
        <w:rPr>
          <w:b/>
          <w:sz w:val="24"/>
          <w:szCs w:val="24"/>
        </w:rPr>
        <w:t xml:space="preserve"> di UBI, </w:t>
      </w:r>
      <w:r w:rsidRPr="00147FA8">
        <w:rPr>
          <w:b/>
          <w:sz w:val="24"/>
          <w:szCs w:val="24"/>
        </w:rPr>
        <w:lastRenderedPageBreak/>
        <w:t>dando istruzioni per il suo rimborso. Le risorse finanziarie così liberate,</w:t>
      </w:r>
      <w:r>
        <w:rPr>
          <w:b/>
          <w:sz w:val="24"/>
          <w:szCs w:val="24"/>
        </w:rPr>
        <w:t xml:space="preserve"> sono state </w:t>
      </w:r>
      <w:r w:rsidRPr="00147FA8">
        <w:rPr>
          <w:b/>
          <w:sz w:val="24"/>
          <w:szCs w:val="24"/>
        </w:rPr>
        <w:t>dedicate agli scopi statutari della Fondazione.</w:t>
      </w:r>
      <w:r w:rsidR="00446C5C">
        <w:rPr>
          <w:b/>
          <w:sz w:val="24"/>
          <w:szCs w:val="24"/>
        </w:rPr>
        <w:t xml:space="preserve"> La vendita del fondo </w:t>
      </w:r>
      <w:proofErr w:type="spellStart"/>
      <w:r w:rsidR="00446C5C">
        <w:rPr>
          <w:b/>
          <w:sz w:val="24"/>
          <w:szCs w:val="24"/>
        </w:rPr>
        <w:t>Pramerica</w:t>
      </w:r>
      <w:proofErr w:type="spellEnd"/>
      <w:r w:rsidR="00446C5C">
        <w:rPr>
          <w:b/>
          <w:sz w:val="24"/>
          <w:szCs w:val="24"/>
        </w:rPr>
        <w:t xml:space="preserve"> ha comportato una perdita di € </w:t>
      </w:r>
      <w:r w:rsidR="002028AC">
        <w:rPr>
          <w:b/>
          <w:sz w:val="24"/>
          <w:szCs w:val="24"/>
        </w:rPr>
        <w:t>372,07</w:t>
      </w:r>
    </w:p>
    <w:p w:rsidR="00BD11F4" w:rsidRDefault="00446C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r w:rsidR="00AA7354">
        <w:rPr>
          <w:b/>
          <w:sz w:val="24"/>
          <w:szCs w:val="24"/>
        </w:rPr>
        <w:t xml:space="preserve">coprire </w:t>
      </w:r>
      <w:r>
        <w:rPr>
          <w:b/>
          <w:sz w:val="24"/>
          <w:szCs w:val="24"/>
        </w:rPr>
        <w:t xml:space="preserve">entrambe queste perdite </w:t>
      </w:r>
      <w:r w:rsidR="00AA7354">
        <w:rPr>
          <w:b/>
          <w:sz w:val="24"/>
          <w:szCs w:val="24"/>
        </w:rPr>
        <w:t>sono stati utilizzati i due fondi che erano stati accantonati</w:t>
      </w:r>
      <w:r>
        <w:rPr>
          <w:b/>
          <w:sz w:val="24"/>
          <w:szCs w:val="24"/>
        </w:rPr>
        <w:t xml:space="preserve"> a valere sul bilancio 2018.</w:t>
      </w:r>
    </w:p>
    <w:p w:rsidR="00446C5C" w:rsidRDefault="00446C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stati erogati, infatti, al Museo del Bargello, fondi per un totale di € </w:t>
      </w:r>
      <w:r w:rsidR="002028AC">
        <w:rPr>
          <w:b/>
          <w:sz w:val="24"/>
          <w:szCs w:val="24"/>
        </w:rPr>
        <w:t>53.492</w:t>
      </w:r>
      <w:r w:rsidR="00CD3116">
        <w:rPr>
          <w:b/>
          <w:sz w:val="24"/>
          <w:szCs w:val="24"/>
        </w:rPr>
        <w:t xml:space="preserve"> di cui € 50.000 </w:t>
      </w:r>
      <w:r w:rsidR="00F83FA7" w:rsidRPr="00F83FA7">
        <w:rPr>
          <w:b/>
          <w:sz w:val="24"/>
          <w:szCs w:val="24"/>
        </w:rPr>
        <w:t>tramite Ar</w:t>
      </w:r>
      <w:r w:rsidR="00F83FA7">
        <w:rPr>
          <w:b/>
          <w:sz w:val="24"/>
          <w:szCs w:val="24"/>
        </w:rPr>
        <w:t xml:space="preserve">t Bonus, in significativo incremento rispetto agli € 25.000 erogati nel 2018, </w:t>
      </w:r>
      <w:r w:rsidR="00F83FA7" w:rsidRPr="00F83FA7">
        <w:rPr>
          <w:b/>
          <w:sz w:val="24"/>
          <w:szCs w:val="24"/>
        </w:rPr>
        <w:t xml:space="preserve">che saranno destinati quanto a € 20.000 a migliorie del controllo climatico e della conservazione delle opere nei depositi del Museo Nazionale del Bargello e quanto a € 30.000 per indagini diagnostiche da realizzarsi in collaborazione con l’OPD del più antico ritratto di Dante  </w:t>
      </w:r>
      <w:r w:rsidR="00F83FA7">
        <w:rPr>
          <w:b/>
          <w:sz w:val="24"/>
          <w:szCs w:val="24"/>
        </w:rPr>
        <w:t xml:space="preserve">e </w:t>
      </w:r>
      <w:r w:rsidR="00F83FA7" w:rsidRPr="00F83FA7">
        <w:rPr>
          <w:b/>
          <w:sz w:val="24"/>
          <w:szCs w:val="24"/>
        </w:rPr>
        <w:t>restauro di alcune parti del ciclo di pitture murali realizzate da Giotto e dalla sua bottega nella Cappella della Maddalena</w:t>
      </w:r>
      <w:r w:rsidR="00F83FA7">
        <w:rPr>
          <w:b/>
          <w:sz w:val="24"/>
          <w:szCs w:val="24"/>
        </w:rPr>
        <w:t>.  Q</w:t>
      </w:r>
      <w:r w:rsidR="00CD3116">
        <w:rPr>
          <w:b/>
          <w:sz w:val="24"/>
          <w:szCs w:val="24"/>
        </w:rPr>
        <w:t xml:space="preserve">uanto a € </w:t>
      </w:r>
      <w:r w:rsidR="002028AC">
        <w:rPr>
          <w:b/>
          <w:sz w:val="24"/>
          <w:szCs w:val="24"/>
        </w:rPr>
        <w:t>3.492</w:t>
      </w:r>
      <w:r w:rsidR="00CD3116">
        <w:rPr>
          <w:b/>
          <w:sz w:val="24"/>
          <w:szCs w:val="24"/>
        </w:rPr>
        <w:t xml:space="preserve"> per cont</w:t>
      </w:r>
      <w:r w:rsidR="00F83FA7">
        <w:rPr>
          <w:b/>
          <w:sz w:val="24"/>
          <w:szCs w:val="24"/>
        </w:rPr>
        <w:t xml:space="preserve">ributo alle spese </w:t>
      </w:r>
      <w:r w:rsidR="00CD3116">
        <w:rPr>
          <w:b/>
          <w:sz w:val="24"/>
          <w:szCs w:val="24"/>
        </w:rPr>
        <w:t xml:space="preserve">per l’apertura straordinaria in occasione della inaugurazione della mostra </w:t>
      </w:r>
      <w:r w:rsidR="00F83FA7">
        <w:rPr>
          <w:b/>
          <w:sz w:val="24"/>
          <w:szCs w:val="24"/>
        </w:rPr>
        <w:t xml:space="preserve">sugli </w:t>
      </w:r>
      <w:r w:rsidR="00CD3116">
        <w:rPr>
          <w:b/>
          <w:sz w:val="24"/>
          <w:szCs w:val="24"/>
        </w:rPr>
        <w:t>Avori</w:t>
      </w:r>
      <w:r w:rsidR="00F83FA7">
        <w:rPr>
          <w:b/>
          <w:sz w:val="24"/>
          <w:szCs w:val="24"/>
        </w:rPr>
        <w:t xml:space="preserve">. </w:t>
      </w:r>
    </w:p>
    <w:p w:rsidR="00F83FA7" w:rsidRPr="00F83FA7" w:rsidRDefault="00F427BE" w:rsidP="00F83FA7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b/>
          <w:sz w:val="24"/>
          <w:szCs w:val="24"/>
        </w:rPr>
        <w:t>Inoltre l</w:t>
      </w:r>
      <w:r w:rsidR="00F83FA7" w:rsidRPr="00F83FA7">
        <w:rPr>
          <w:b/>
          <w:sz w:val="24"/>
          <w:szCs w:val="24"/>
        </w:rPr>
        <w:t xml:space="preserve">a Fondazione ha deciso di unirsi a I Musei del Bargello e la Scuola Normale di Pisa </w:t>
      </w:r>
      <w:r>
        <w:rPr>
          <w:b/>
          <w:sz w:val="24"/>
          <w:szCs w:val="24"/>
        </w:rPr>
        <w:t>nel</w:t>
      </w:r>
      <w:r w:rsidR="00F83FA7" w:rsidRPr="00F83FA7">
        <w:rPr>
          <w:b/>
          <w:sz w:val="24"/>
          <w:szCs w:val="24"/>
        </w:rPr>
        <w:t xml:space="preserve"> fare d</w:t>
      </w:r>
      <w:r w:rsidR="00F83FA7" w:rsidRPr="00F83FA7">
        <w:rPr>
          <w:b/>
          <w:sz w:val="24"/>
          <w:szCs w:val="24"/>
        </w:rPr>
        <w:t>o</w:t>
      </w:r>
      <w:r w:rsidR="00F83FA7" w:rsidRPr="00F83FA7">
        <w:rPr>
          <w:b/>
          <w:sz w:val="24"/>
          <w:szCs w:val="24"/>
        </w:rPr>
        <w:t xml:space="preserve">manda  alla Regione Toscana per </w:t>
      </w:r>
      <w:r w:rsidR="0041592D">
        <w:rPr>
          <w:b/>
          <w:sz w:val="24"/>
          <w:szCs w:val="24"/>
        </w:rPr>
        <w:t>cinque assegni</w:t>
      </w:r>
      <w:r w:rsidR="00F83FA7" w:rsidRPr="00F83FA7">
        <w:rPr>
          <w:b/>
          <w:sz w:val="24"/>
          <w:szCs w:val="24"/>
        </w:rPr>
        <w:t xml:space="preserve"> di studio: </w:t>
      </w:r>
      <w:r w:rsidR="0041592D">
        <w:rPr>
          <w:b/>
          <w:sz w:val="24"/>
          <w:szCs w:val="24"/>
        </w:rPr>
        <w:t>due</w:t>
      </w:r>
      <w:r w:rsidR="00F83FA7" w:rsidRPr="00F83FA7">
        <w:rPr>
          <w:b/>
          <w:sz w:val="24"/>
          <w:szCs w:val="24"/>
        </w:rPr>
        <w:t xml:space="preserve"> destinate allo studio, catalogazione e di</w:t>
      </w:r>
      <w:r w:rsidR="00F83FA7" w:rsidRPr="00F83FA7">
        <w:rPr>
          <w:b/>
          <w:sz w:val="24"/>
          <w:szCs w:val="24"/>
        </w:rPr>
        <w:t>a</w:t>
      </w:r>
      <w:r w:rsidR="00F83FA7" w:rsidRPr="00F83FA7">
        <w:rPr>
          <w:b/>
          <w:sz w:val="24"/>
          <w:szCs w:val="24"/>
        </w:rPr>
        <w:t>gnostica di medaglie</w:t>
      </w:r>
      <w:r w:rsidR="0041592D">
        <w:rPr>
          <w:b/>
          <w:sz w:val="24"/>
          <w:szCs w:val="24"/>
        </w:rPr>
        <w:t xml:space="preserve"> e</w:t>
      </w:r>
      <w:r w:rsidR="00F83FA7" w:rsidRPr="00F83FA7">
        <w:rPr>
          <w:b/>
          <w:sz w:val="24"/>
          <w:szCs w:val="24"/>
        </w:rPr>
        <w:t xml:space="preserve"> placchette, e tre dedicate allo studio e diagnostica delle opere in </w:t>
      </w:r>
      <w:r w:rsidR="0041592D">
        <w:rPr>
          <w:b/>
          <w:sz w:val="24"/>
          <w:szCs w:val="24"/>
        </w:rPr>
        <w:t>bronzo</w:t>
      </w:r>
      <w:r w:rsidR="00F83FA7" w:rsidRPr="00F83FA7">
        <w:rPr>
          <w:b/>
          <w:sz w:val="24"/>
          <w:szCs w:val="24"/>
        </w:rPr>
        <w:t>, tutte conservate al Bargello. Questi studi andranno ad implementare il catalogo delle sculture che si sta red</w:t>
      </w:r>
      <w:r w:rsidR="00F83FA7" w:rsidRPr="00F83FA7">
        <w:rPr>
          <w:b/>
          <w:sz w:val="24"/>
          <w:szCs w:val="24"/>
        </w:rPr>
        <w:t>i</w:t>
      </w:r>
      <w:r w:rsidR="00F83FA7" w:rsidRPr="00F83FA7">
        <w:rPr>
          <w:b/>
          <w:sz w:val="24"/>
          <w:szCs w:val="24"/>
        </w:rPr>
        <w:t xml:space="preserve">gendo grazie ad un Progetto PRIN già in corso e, inoltre, a realizzare importanti indagini diagnostiche sia sui bronzi che sui marmi. </w:t>
      </w:r>
      <w:r>
        <w:rPr>
          <w:b/>
          <w:sz w:val="24"/>
          <w:szCs w:val="24"/>
        </w:rPr>
        <w:t xml:space="preserve">Le </w:t>
      </w:r>
      <w:r w:rsidR="0041592D">
        <w:rPr>
          <w:b/>
          <w:sz w:val="24"/>
          <w:szCs w:val="24"/>
        </w:rPr>
        <w:t>cinque</w:t>
      </w:r>
      <w:r>
        <w:rPr>
          <w:b/>
          <w:sz w:val="24"/>
          <w:szCs w:val="24"/>
        </w:rPr>
        <w:t xml:space="preserve"> borse di studio sono risultate vincenti e quindi la Fondazione ha, nel Dicembre scorso, erogato € 16.800.</w:t>
      </w:r>
    </w:p>
    <w:p w:rsidR="00CD3116" w:rsidRDefault="00F427BE" w:rsidP="00147F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 corso del 2019 è stato possibile diminuire l’indebitamento verso le banche da € 270.707,17 ad € 228.204,93 mentre le disponibilità finanziarie sono aumentate da € 24.223,15 ad € 35.382,77</w:t>
      </w:r>
      <w:r w:rsidR="00330E6E">
        <w:rPr>
          <w:b/>
          <w:sz w:val="24"/>
          <w:szCs w:val="24"/>
        </w:rPr>
        <w:t>.</w:t>
      </w:r>
    </w:p>
    <w:p w:rsidR="00147FA8" w:rsidRDefault="00446C5C" w:rsidP="00147F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Sono continuati i lavori per la realizzazione del nuovo sito Web e del nuovo logo della Fondazione. Contiamo che sia operativo nella prima metà dell’anno 2020.</w:t>
      </w:r>
    </w:p>
    <w:p w:rsidR="00147FA8" w:rsidRDefault="00206B58" w:rsidP="00147FA8">
      <w:pPr>
        <w:jc w:val="both"/>
      </w:pPr>
      <w:r>
        <w:rPr>
          <w:b/>
          <w:sz w:val="24"/>
          <w:szCs w:val="24"/>
        </w:rPr>
        <w:t xml:space="preserve">Purtroppo dobbiamo segnalare che siamo ancora in attesa di ricevere il </w:t>
      </w:r>
      <w:r w:rsidR="00147FA8">
        <w:rPr>
          <w:b/>
          <w:sz w:val="24"/>
          <w:szCs w:val="24"/>
        </w:rPr>
        <w:t xml:space="preserve">Contributo dello </w:t>
      </w:r>
      <w:r>
        <w:rPr>
          <w:b/>
          <w:sz w:val="24"/>
          <w:szCs w:val="24"/>
        </w:rPr>
        <w:t>S</w:t>
      </w:r>
      <w:r w:rsidR="00147FA8">
        <w:rPr>
          <w:b/>
          <w:sz w:val="24"/>
          <w:szCs w:val="24"/>
        </w:rPr>
        <w:t>tato</w:t>
      </w:r>
      <w:r w:rsidR="003A6404" w:rsidRPr="003A6404">
        <w:t xml:space="preserve"> </w:t>
      </w:r>
      <w:r w:rsidR="003A6404" w:rsidRPr="003A6404">
        <w:rPr>
          <w:b/>
          <w:sz w:val="24"/>
          <w:szCs w:val="24"/>
        </w:rPr>
        <w:t>per il restauro di Palazzo Alberti</w:t>
      </w:r>
      <w:r w:rsidR="00634D87">
        <w:rPr>
          <w:b/>
          <w:sz w:val="24"/>
          <w:szCs w:val="24"/>
        </w:rPr>
        <w:t xml:space="preserve"> per € 88.280,68 deliberato nel 2017.</w:t>
      </w:r>
    </w:p>
    <w:p w:rsidR="00F427BE" w:rsidRPr="00F427BE" w:rsidRDefault="00F427BE" w:rsidP="00F427BE">
      <w:pPr>
        <w:suppressAutoHyphens w:val="0"/>
        <w:autoSpaceDN/>
        <w:textAlignment w:val="auto"/>
        <w:rPr>
          <w:b/>
          <w:sz w:val="24"/>
          <w:szCs w:val="24"/>
        </w:rPr>
      </w:pPr>
      <w:r w:rsidRPr="00F427BE">
        <w:rPr>
          <w:b/>
          <w:sz w:val="24"/>
          <w:szCs w:val="24"/>
        </w:rPr>
        <w:t xml:space="preserve">E stato infine elaborato il nuovo statuto che risponde ai principi delle Società del Terzo Settore e che </w:t>
      </w:r>
      <w:r>
        <w:rPr>
          <w:b/>
          <w:sz w:val="24"/>
          <w:szCs w:val="24"/>
        </w:rPr>
        <w:t>ve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rà adottato nel corso del 2020.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it-IT"/>
        </w:rPr>
      </w:pPr>
    </w:p>
    <w:p w:rsidR="000C6BF0" w:rsidRPr="008E1DBF" w:rsidRDefault="008E1DBF" w:rsidP="000C6BF0">
      <w:pPr>
        <w:suppressAutoHyphens w:val="0"/>
        <w:autoSpaceDN/>
        <w:spacing w:after="0" w:line="240" w:lineRule="auto"/>
        <w:jc w:val="center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RELAZIONE AL BILANCIO CONSUNTIVO 31 DICEMBRE 201</w:t>
      </w:r>
      <w:r w:rsidR="000C6BF0">
        <w:rPr>
          <w:b/>
          <w:sz w:val="24"/>
          <w:szCs w:val="24"/>
        </w:rPr>
        <w:t>9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Il Bilancio al 31 dicembre 201</w:t>
      </w:r>
      <w:r w:rsidR="00123A67">
        <w:rPr>
          <w:b/>
          <w:sz w:val="24"/>
          <w:szCs w:val="24"/>
        </w:rPr>
        <w:t>9</w:t>
      </w:r>
      <w:r w:rsidRPr="008E1DBF">
        <w:rPr>
          <w:b/>
          <w:sz w:val="24"/>
          <w:szCs w:val="24"/>
        </w:rPr>
        <w:t xml:space="preserve"> si compendia nei seguenti dati:</w:t>
      </w:r>
    </w:p>
    <w:p w:rsid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314F8E">
      <w:pPr>
        <w:suppressAutoHyphens w:val="0"/>
        <w:autoSpaceDN/>
        <w:spacing w:after="0" w:line="240" w:lineRule="auto"/>
        <w:jc w:val="center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Stato patrimoniale: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123A67" w:rsidRDefault="00123A67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 xml:space="preserve">ATTIVITÀ </w:t>
      </w:r>
    </w:p>
    <w:p w:rsidR="00123A67" w:rsidRPr="008E1DBF" w:rsidRDefault="00123A67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3583"/>
      </w:tblGrid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Immobilizzazioni Materiali</w:t>
            </w:r>
          </w:p>
        </w:tc>
        <w:tc>
          <w:tcPr>
            <w:tcW w:w="3583" w:type="dxa"/>
          </w:tcPr>
          <w:p w:rsidR="007525BF" w:rsidRDefault="007525BF" w:rsidP="007525BF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  <w:r w:rsidR="00D76B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4.158.489,03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Immobilizzazioni Immateriali</w:t>
            </w:r>
          </w:p>
        </w:tc>
        <w:tc>
          <w:tcPr>
            <w:tcW w:w="3583" w:type="dxa"/>
          </w:tcPr>
          <w:p w:rsidR="007525BF" w:rsidRDefault="007525BF" w:rsidP="007525BF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  </w:t>
            </w:r>
            <w:r w:rsidR="00D76B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2028AC">
              <w:rPr>
                <w:b/>
                <w:sz w:val="24"/>
                <w:szCs w:val="24"/>
              </w:rPr>
              <w:t>5.562,67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Crediti</w:t>
            </w:r>
          </w:p>
        </w:tc>
        <w:tc>
          <w:tcPr>
            <w:tcW w:w="3583" w:type="dxa"/>
          </w:tcPr>
          <w:p w:rsidR="007525BF" w:rsidRDefault="007525BF" w:rsidP="007525BF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  </w:t>
            </w:r>
            <w:r w:rsidR="00D76B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24.745,67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Disponibilità finanziaria</w:t>
            </w:r>
          </w:p>
        </w:tc>
        <w:tc>
          <w:tcPr>
            <w:tcW w:w="3583" w:type="dxa"/>
          </w:tcPr>
          <w:p w:rsidR="007525BF" w:rsidRDefault="007525BF" w:rsidP="00D76BE2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  <w:r w:rsidR="00D76BE2">
              <w:rPr>
                <w:b/>
                <w:sz w:val="24"/>
                <w:szCs w:val="24"/>
              </w:rPr>
              <w:t xml:space="preserve">        35.382,77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Credito d’imposta ART Bonus</w:t>
            </w:r>
          </w:p>
        </w:tc>
        <w:tc>
          <w:tcPr>
            <w:tcW w:w="3583" w:type="dxa"/>
          </w:tcPr>
          <w:p w:rsidR="007525BF" w:rsidRDefault="007525BF" w:rsidP="007525BF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  </w:t>
            </w:r>
            <w:r w:rsidR="00D76B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47</w:t>
            </w:r>
            <w:r w:rsidR="005162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609,54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Ratei e risconti attivi</w:t>
            </w:r>
          </w:p>
        </w:tc>
        <w:tc>
          <w:tcPr>
            <w:tcW w:w="3583" w:type="dxa"/>
          </w:tcPr>
          <w:p w:rsidR="007525BF" w:rsidRDefault="00D76BE2" w:rsidP="00D76BE2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       416,48</w:t>
            </w:r>
          </w:p>
        </w:tc>
      </w:tr>
      <w:tr w:rsidR="007525BF" w:rsidTr="007525BF">
        <w:tc>
          <w:tcPr>
            <w:tcW w:w="4889" w:type="dxa"/>
          </w:tcPr>
          <w:p w:rsidR="007525BF" w:rsidRDefault="007525BF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ATTIVO</w:t>
            </w:r>
          </w:p>
        </w:tc>
        <w:tc>
          <w:tcPr>
            <w:tcW w:w="3583" w:type="dxa"/>
          </w:tcPr>
          <w:p w:rsidR="007525BF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4</w:t>
            </w:r>
            <w:r w:rsidR="002028AC">
              <w:rPr>
                <w:b/>
                <w:sz w:val="24"/>
                <w:szCs w:val="24"/>
              </w:rPr>
              <w:t>.272.206,16</w:t>
            </w:r>
          </w:p>
        </w:tc>
      </w:tr>
    </w:tbl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PASSIVITÀ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567"/>
        <w:gridCol w:w="1701"/>
      </w:tblGrid>
      <w:tr w:rsidR="008E1DBF" w:rsidRPr="008E1DBF" w:rsidTr="005A0953">
        <w:tc>
          <w:tcPr>
            <w:tcW w:w="6062" w:type="dxa"/>
          </w:tcPr>
          <w:p w:rsidR="008E1DBF" w:rsidRPr="008E1DBF" w:rsidRDefault="008E1DBF" w:rsidP="008E1D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E1DBF" w:rsidRPr="008E1DBF" w:rsidRDefault="008E1DBF" w:rsidP="008E1D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DBF" w:rsidRPr="008E1DBF" w:rsidRDefault="008E1DBF" w:rsidP="008E1DB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AE5596" w:rsidRDefault="00AE5596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3544"/>
      </w:tblGrid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7F16D1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 xml:space="preserve">Fondo ammortamento immobilizzazioni </w:t>
            </w:r>
          </w:p>
        </w:tc>
        <w:tc>
          <w:tcPr>
            <w:tcW w:w="3544" w:type="dxa"/>
          </w:tcPr>
          <w:p w:rsidR="007F16D1" w:rsidRDefault="007F16D1" w:rsidP="007F16D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   </w:t>
            </w:r>
            <w:r w:rsidR="005162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20.574,15</w:t>
            </w:r>
          </w:p>
        </w:tc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Fondi accantonamento</w:t>
            </w:r>
          </w:p>
        </w:tc>
        <w:tc>
          <w:tcPr>
            <w:tcW w:w="3544" w:type="dxa"/>
          </w:tcPr>
          <w:p w:rsidR="007F16D1" w:rsidRDefault="007F16D1" w:rsidP="00E65DAB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  <w:r w:rsidR="00516271">
              <w:rPr>
                <w:b/>
                <w:sz w:val="24"/>
                <w:szCs w:val="24"/>
              </w:rPr>
              <w:t xml:space="preserve">         </w:t>
            </w:r>
            <w:r w:rsidR="00E65DA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0.000</w:t>
            </w:r>
            <w:r w:rsidR="00516271">
              <w:rPr>
                <w:b/>
                <w:sz w:val="24"/>
                <w:szCs w:val="24"/>
              </w:rPr>
              <w:t>,00</w:t>
            </w:r>
          </w:p>
        </w:tc>
      </w:tr>
      <w:tr w:rsidR="007F16D1" w:rsidTr="00516271">
        <w:trPr>
          <w:trHeight w:val="353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Debiti  altri</w:t>
            </w:r>
          </w:p>
        </w:tc>
        <w:tc>
          <w:tcPr>
            <w:tcW w:w="3544" w:type="dxa"/>
          </w:tcPr>
          <w:p w:rsidR="007F16D1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   36.381,19</w:t>
            </w:r>
          </w:p>
        </w:tc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Debiti</w:t>
            </w:r>
            <w:r>
              <w:rPr>
                <w:b/>
                <w:sz w:val="24"/>
                <w:szCs w:val="24"/>
              </w:rPr>
              <w:t xml:space="preserve"> finanziari</w:t>
            </w:r>
          </w:p>
        </w:tc>
        <w:tc>
          <w:tcPr>
            <w:tcW w:w="3544" w:type="dxa"/>
          </w:tcPr>
          <w:p w:rsidR="00516271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 228.204,93</w:t>
            </w:r>
          </w:p>
        </w:tc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Ratei e risconti passivi</w:t>
            </w:r>
          </w:p>
        </w:tc>
        <w:tc>
          <w:tcPr>
            <w:tcW w:w="3544" w:type="dxa"/>
          </w:tcPr>
          <w:p w:rsidR="007F16D1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     2.674,51</w:t>
            </w:r>
          </w:p>
        </w:tc>
        <w:bookmarkStart w:id="0" w:name="_GoBack"/>
        <w:bookmarkEnd w:id="0"/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Imposte a carico dell’esercizio</w:t>
            </w:r>
          </w:p>
        </w:tc>
        <w:tc>
          <w:tcPr>
            <w:tcW w:w="3544" w:type="dxa"/>
          </w:tcPr>
          <w:p w:rsidR="007F16D1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     9.625,00</w:t>
            </w:r>
          </w:p>
        </w:tc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>Per un totale di</w:t>
            </w:r>
          </w:p>
        </w:tc>
        <w:tc>
          <w:tcPr>
            <w:tcW w:w="3544" w:type="dxa"/>
          </w:tcPr>
          <w:p w:rsidR="007F16D1" w:rsidRDefault="00516271" w:rsidP="007428E5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   3</w:t>
            </w:r>
            <w:r w:rsidR="007428E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7.459,78</w:t>
            </w:r>
          </w:p>
        </w:tc>
      </w:tr>
      <w:tr w:rsidR="007F16D1" w:rsidTr="00516271">
        <w:trPr>
          <w:trHeight w:val="353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 w:rsidRPr="007F16D1">
              <w:rPr>
                <w:b/>
                <w:sz w:val="24"/>
                <w:szCs w:val="24"/>
              </w:rPr>
              <w:t xml:space="preserve">Patrimonio netto                                                                          </w:t>
            </w:r>
          </w:p>
        </w:tc>
        <w:tc>
          <w:tcPr>
            <w:tcW w:w="3544" w:type="dxa"/>
          </w:tcPr>
          <w:p w:rsidR="007F16D1" w:rsidRDefault="00516271" w:rsidP="00E65DAB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3</w:t>
            </w:r>
            <w:r w:rsidR="00E65DAB">
              <w:rPr>
                <w:b/>
                <w:sz w:val="24"/>
                <w:szCs w:val="24"/>
              </w:rPr>
              <w:t>.88</w:t>
            </w:r>
            <w:r w:rsidR="002028AC">
              <w:rPr>
                <w:b/>
                <w:sz w:val="24"/>
                <w:szCs w:val="24"/>
              </w:rPr>
              <w:t>4.746,38</w:t>
            </w:r>
          </w:p>
        </w:tc>
      </w:tr>
      <w:tr w:rsidR="007F16D1" w:rsidTr="00516271">
        <w:trPr>
          <w:trHeight w:val="335"/>
        </w:trPr>
        <w:tc>
          <w:tcPr>
            <w:tcW w:w="4928" w:type="dxa"/>
          </w:tcPr>
          <w:p w:rsidR="007F16D1" w:rsidRDefault="007F16D1" w:rsidP="008E1DBF">
            <w:pPr>
              <w:suppressAutoHyphens w:val="0"/>
              <w:autoSpaceDN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A PAREGGIO</w:t>
            </w:r>
          </w:p>
        </w:tc>
        <w:tc>
          <w:tcPr>
            <w:tcW w:w="3544" w:type="dxa"/>
          </w:tcPr>
          <w:p w:rsidR="007F16D1" w:rsidRDefault="00516271" w:rsidP="00516271">
            <w:pPr>
              <w:suppressAutoHyphens w:val="0"/>
              <w:autoSpaceDN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  4.</w:t>
            </w:r>
            <w:r w:rsidR="002028AC">
              <w:rPr>
                <w:b/>
                <w:sz w:val="24"/>
                <w:szCs w:val="24"/>
              </w:rPr>
              <w:t>272.206,16</w:t>
            </w:r>
          </w:p>
        </w:tc>
      </w:tr>
    </w:tbl>
    <w:p w:rsidR="00AE5596" w:rsidRDefault="00AE5596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AE5596" w:rsidRDefault="00AE5596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EE3C8B" w:rsidRDefault="00EE3C8B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I valori di carico degli immobili di proprietà, che negli anni si sono incrementati per effetto delle ristru</w:t>
      </w:r>
      <w:r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turazioni eseguite, sono stati confrontati – salvo quello del Condominio Zenith – con i valori OMI relativi. E’ risultato che essi sono sostanzialmente coincidenti.</w:t>
      </w:r>
      <w:r w:rsidR="00E65DAB">
        <w:rPr>
          <w:b/>
          <w:sz w:val="24"/>
          <w:szCs w:val="24"/>
        </w:rPr>
        <w:t xml:space="preserve"> E’ stato costituito un Fondo manutenzioni strao</w:t>
      </w:r>
      <w:r w:rsidR="00E65DAB">
        <w:rPr>
          <w:b/>
          <w:sz w:val="24"/>
          <w:szCs w:val="24"/>
        </w:rPr>
        <w:t>r</w:t>
      </w:r>
      <w:r w:rsidR="00E65DAB">
        <w:rPr>
          <w:b/>
          <w:sz w:val="24"/>
          <w:szCs w:val="24"/>
        </w:rPr>
        <w:t>dinarie di € 20.000,00 vista la anzianità dei nostri immobili, in particolare Palazzo Alberti.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Il Patrimonio netto al 31.12.201</w:t>
      </w:r>
      <w:r w:rsidR="00A20DC0">
        <w:rPr>
          <w:b/>
          <w:sz w:val="24"/>
          <w:szCs w:val="24"/>
        </w:rPr>
        <w:t>9</w:t>
      </w:r>
      <w:r w:rsidRPr="008E1DBF">
        <w:rPr>
          <w:b/>
          <w:sz w:val="24"/>
          <w:szCs w:val="24"/>
        </w:rPr>
        <w:t xml:space="preserve"> ammonta a € </w:t>
      </w:r>
      <w:r w:rsidR="00C73E31">
        <w:rPr>
          <w:b/>
          <w:sz w:val="24"/>
          <w:szCs w:val="24"/>
        </w:rPr>
        <w:t>3.</w:t>
      </w:r>
      <w:r w:rsidR="00E65DAB">
        <w:rPr>
          <w:b/>
          <w:sz w:val="24"/>
          <w:szCs w:val="24"/>
        </w:rPr>
        <w:t>88</w:t>
      </w:r>
      <w:r w:rsidR="00C73E31">
        <w:rPr>
          <w:b/>
          <w:sz w:val="24"/>
          <w:szCs w:val="24"/>
        </w:rPr>
        <w:t>4.746,38</w:t>
      </w:r>
      <w:r w:rsidRPr="008E1DBF">
        <w:rPr>
          <w:b/>
          <w:sz w:val="24"/>
          <w:szCs w:val="24"/>
        </w:rPr>
        <w:t xml:space="preserve">, </w:t>
      </w:r>
      <w:r w:rsidR="00330E6E">
        <w:rPr>
          <w:b/>
          <w:sz w:val="24"/>
          <w:szCs w:val="24"/>
        </w:rPr>
        <w:t>rispetto a € 3.845.490,44</w:t>
      </w:r>
      <w:r w:rsidR="00757513">
        <w:rPr>
          <w:b/>
          <w:sz w:val="24"/>
          <w:szCs w:val="24"/>
        </w:rPr>
        <w:t xml:space="preserve"> dell’anno prec</w:t>
      </w:r>
      <w:r w:rsidR="00757513">
        <w:rPr>
          <w:b/>
          <w:sz w:val="24"/>
          <w:szCs w:val="24"/>
        </w:rPr>
        <w:t>e</w:t>
      </w:r>
      <w:r w:rsidR="00757513">
        <w:rPr>
          <w:b/>
          <w:sz w:val="24"/>
          <w:szCs w:val="24"/>
        </w:rPr>
        <w:t>dente,</w:t>
      </w:r>
      <w:r w:rsidR="00330E6E">
        <w:rPr>
          <w:b/>
          <w:sz w:val="24"/>
          <w:szCs w:val="24"/>
        </w:rPr>
        <w:t xml:space="preserve"> </w:t>
      </w:r>
      <w:r w:rsidRPr="008E1DBF">
        <w:rPr>
          <w:b/>
          <w:sz w:val="24"/>
          <w:szCs w:val="24"/>
        </w:rPr>
        <w:t>ed è composto dal FONDO DI DOTAZIONE, pari a € 500.000,00, da ALTRE RISERVE pari a € 3.</w:t>
      </w:r>
      <w:r w:rsidR="00E65DAB">
        <w:rPr>
          <w:b/>
          <w:sz w:val="24"/>
          <w:szCs w:val="24"/>
        </w:rPr>
        <w:t>300</w:t>
      </w:r>
      <w:r w:rsidRPr="008E1DBF">
        <w:rPr>
          <w:b/>
          <w:sz w:val="24"/>
          <w:szCs w:val="24"/>
        </w:rPr>
        <w:t>.</w:t>
      </w:r>
      <w:r w:rsidR="00E65DAB">
        <w:rPr>
          <w:b/>
          <w:sz w:val="24"/>
          <w:szCs w:val="24"/>
        </w:rPr>
        <w:t>468</w:t>
      </w:r>
      <w:r w:rsidRPr="008E1DBF">
        <w:rPr>
          <w:b/>
          <w:sz w:val="24"/>
          <w:szCs w:val="24"/>
        </w:rPr>
        <w:t>,</w:t>
      </w:r>
      <w:r w:rsidR="00E65DAB">
        <w:rPr>
          <w:b/>
          <w:sz w:val="24"/>
          <w:szCs w:val="24"/>
        </w:rPr>
        <w:t>32</w:t>
      </w:r>
      <w:r w:rsidRPr="008E1DBF">
        <w:rPr>
          <w:b/>
          <w:sz w:val="24"/>
          <w:szCs w:val="24"/>
        </w:rPr>
        <w:t>, incrementato nel corso dell’esercizio per l’imputazione dell’avanzo d’esercizio 201</w:t>
      </w:r>
      <w:r w:rsidR="00330E6E">
        <w:rPr>
          <w:b/>
          <w:sz w:val="24"/>
          <w:szCs w:val="24"/>
        </w:rPr>
        <w:t>8</w:t>
      </w:r>
      <w:r w:rsidRPr="008E1DBF">
        <w:rPr>
          <w:b/>
          <w:sz w:val="24"/>
          <w:szCs w:val="24"/>
        </w:rPr>
        <w:t xml:space="preserve"> pari a € </w:t>
      </w:r>
      <w:r w:rsidR="00330E6E">
        <w:rPr>
          <w:b/>
          <w:sz w:val="24"/>
          <w:szCs w:val="24"/>
        </w:rPr>
        <w:t>95.194,86</w:t>
      </w:r>
      <w:r w:rsidR="00EE3C8B">
        <w:rPr>
          <w:b/>
          <w:sz w:val="24"/>
          <w:szCs w:val="24"/>
        </w:rPr>
        <w:t>,</w:t>
      </w:r>
      <w:r w:rsidR="00330E6E">
        <w:rPr>
          <w:b/>
          <w:sz w:val="24"/>
          <w:szCs w:val="24"/>
        </w:rPr>
        <w:t xml:space="preserve"> </w:t>
      </w:r>
      <w:r w:rsidRPr="008E1DBF">
        <w:rPr>
          <w:b/>
          <w:sz w:val="24"/>
          <w:szCs w:val="24"/>
        </w:rPr>
        <w:t>dal FONDO EREDITA</w:t>
      </w:r>
      <w:r w:rsidR="00330E6E">
        <w:rPr>
          <w:b/>
          <w:sz w:val="24"/>
          <w:szCs w:val="24"/>
        </w:rPr>
        <w:t>’ PERVENUTE pari a  € 45.022,12 e dall</w:t>
      </w:r>
      <w:r w:rsidR="008D4D01">
        <w:rPr>
          <w:b/>
          <w:sz w:val="24"/>
          <w:szCs w:val="24"/>
        </w:rPr>
        <w:t>’</w:t>
      </w:r>
      <w:r w:rsidR="00330E6E">
        <w:rPr>
          <w:b/>
          <w:sz w:val="24"/>
          <w:szCs w:val="24"/>
        </w:rPr>
        <w:t xml:space="preserve"> AVANZO DI ESERCIZIO 2019 pari ad € </w:t>
      </w:r>
      <w:r w:rsidR="00E65DAB">
        <w:rPr>
          <w:b/>
          <w:sz w:val="24"/>
          <w:szCs w:val="24"/>
        </w:rPr>
        <w:t>3</w:t>
      </w:r>
      <w:r w:rsidR="00C73E31">
        <w:rPr>
          <w:b/>
          <w:sz w:val="24"/>
          <w:szCs w:val="24"/>
        </w:rPr>
        <w:t>9.255,94</w:t>
      </w:r>
      <w:r w:rsidR="00330E6E">
        <w:rPr>
          <w:b/>
          <w:sz w:val="24"/>
          <w:szCs w:val="24"/>
        </w:rPr>
        <w:t>.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314F8E">
      <w:pPr>
        <w:suppressAutoHyphens w:val="0"/>
        <w:autoSpaceDN/>
        <w:spacing w:after="0" w:line="240" w:lineRule="auto"/>
        <w:jc w:val="center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Rendiconto economico: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textAlignment w:val="auto"/>
        <w:rPr>
          <w:b/>
          <w:sz w:val="24"/>
          <w:szCs w:val="24"/>
        </w:rPr>
      </w:pP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 xml:space="preserve">Il Rendiconto economico dell’esercizio evidenzia </w:t>
      </w:r>
      <w:r w:rsidR="003C6298">
        <w:rPr>
          <w:b/>
          <w:sz w:val="24"/>
          <w:szCs w:val="24"/>
        </w:rPr>
        <w:t xml:space="preserve">i frutti del patrimonio e le </w:t>
      </w:r>
      <w:r w:rsidRPr="008E1DBF">
        <w:rPr>
          <w:b/>
          <w:sz w:val="24"/>
          <w:szCs w:val="24"/>
        </w:rPr>
        <w:t>spese sostenute e le erog</w:t>
      </w:r>
      <w:r w:rsidRPr="008E1DBF">
        <w:rPr>
          <w:b/>
          <w:sz w:val="24"/>
          <w:szCs w:val="24"/>
        </w:rPr>
        <w:t>a</w:t>
      </w:r>
      <w:r w:rsidRPr="008E1DBF">
        <w:rPr>
          <w:b/>
          <w:sz w:val="24"/>
          <w:szCs w:val="24"/>
        </w:rPr>
        <w:t>zio</w:t>
      </w:r>
      <w:r w:rsidR="003C6298">
        <w:rPr>
          <w:b/>
          <w:sz w:val="24"/>
          <w:szCs w:val="24"/>
        </w:rPr>
        <w:t xml:space="preserve">ni </w:t>
      </w:r>
      <w:r w:rsidRPr="008E1DBF">
        <w:rPr>
          <w:b/>
          <w:sz w:val="24"/>
          <w:szCs w:val="24"/>
        </w:rPr>
        <w:t>per le attività istituzionali.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314F8E" w:rsidRDefault="00314F8E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3C6298" w:rsidRDefault="003C6298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3C6298">
      <w:pPr>
        <w:suppressAutoHyphens w:val="0"/>
        <w:autoSpaceDN/>
        <w:spacing w:after="0" w:line="240" w:lineRule="auto"/>
        <w:jc w:val="center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RENDITE e ENTRATE</w:t>
      </w:r>
    </w:p>
    <w:p w:rsidR="008E1DBF" w:rsidRDefault="003C6298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RENDITE ED ENTRATE</w:t>
      </w:r>
    </w:p>
    <w:p w:rsidR="003C25E8" w:rsidRDefault="003C25E8" w:rsidP="003C25E8">
      <w:pPr>
        <w:pStyle w:val="Paragrafoelenco"/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D4D01" w:rsidRDefault="008E1DBF" w:rsidP="00F720E5">
      <w:pPr>
        <w:pStyle w:val="Paragrafoelenco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F720E5">
        <w:rPr>
          <w:b/>
          <w:sz w:val="24"/>
          <w:szCs w:val="24"/>
        </w:rPr>
        <w:t>Le rendite, costituite da</w:t>
      </w:r>
      <w:r w:rsidR="008D4D01">
        <w:rPr>
          <w:b/>
          <w:sz w:val="24"/>
          <w:szCs w:val="24"/>
        </w:rPr>
        <w:t>:</w:t>
      </w:r>
    </w:p>
    <w:p w:rsidR="00EA2777" w:rsidRDefault="008E1DBF" w:rsidP="00F720E5">
      <w:pPr>
        <w:pStyle w:val="Paragrafoelenco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F720E5">
        <w:rPr>
          <w:b/>
          <w:sz w:val="24"/>
          <w:szCs w:val="24"/>
        </w:rPr>
        <w:t>i proventi derivanti dalle locazioni degli immobili di proprietà ammontano complessivamente a</w:t>
      </w:r>
      <w:r w:rsidR="00330E6E">
        <w:rPr>
          <w:b/>
          <w:sz w:val="24"/>
          <w:szCs w:val="24"/>
        </w:rPr>
        <w:t xml:space="preserve"> € 186.918,98, in linea con quelle dell’anno 2018 che sono state  € 185.191,07, </w:t>
      </w:r>
      <w:r w:rsidRPr="00F720E5">
        <w:rPr>
          <w:b/>
          <w:sz w:val="24"/>
          <w:szCs w:val="24"/>
        </w:rPr>
        <w:t>dai contributi in co</w:t>
      </w:r>
      <w:r w:rsidRPr="00F720E5">
        <w:rPr>
          <w:b/>
          <w:sz w:val="24"/>
          <w:szCs w:val="24"/>
        </w:rPr>
        <w:t>n</w:t>
      </w:r>
      <w:r w:rsidRPr="00F720E5">
        <w:rPr>
          <w:b/>
          <w:sz w:val="24"/>
          <w:szCs w:val="24"/>
        </w:rPr>
        <w:t xml:space="preserve">to interessi relativi al </w:t>
      </w:r>
      <w:r w:rsidR="00330E6E">
        <w:rPr>
          <w:b/>
          <w:sz w:val="24"/>
          <w:szCs w:val="24"/>
        </w:rPr>
        <w:t>m</w:t>
      </w:r>
      <w:r w:rsidRPr="00F720E5">
        <w:rPr>
          <w:b/>
          <w:sz w:val="24"/>
          <w:szCs w:val="24"/>
        </w:rPr>
        <w:t>utuo e per il quale riceviamo la sovvenzione del Ministero</w:t>
      </w:r>
      <w:r w:rsidR="00EA2777" w:rsidRPr="00F720E5">
        <w:rPr>
          <w:b/>
          <w:sz w:val="24"/>
          <w:szCs w:val="24"/>
        </w:rPr>
        <w:t>;</w:t>
      </w:r>
    </w:p>
    <w:p w:rsidR="00557C39" w:rsidRDefault="00557C39" w:rsidP="00591FFA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r w:rsidRPr="00557C39">
        <w:rPr>
          <w:b/>
          <w:sz w:val="24"/>
          <w:szCs w:val="24"/>
        </w:rPr>
        <w:t xml:space="preserve">plusvalenze e sopravvenienze attive per </w:t>
      </w:r>
      <w:r w:rsidRPr="00EA2777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 xml:space="preserve"> 6.005,05;</w:t>
      </w:r>
    </w:p>
    <w:p w:rsidR="00EA2777" w:rsidRPr="00557C39" w:rsidRDefault="008E1DBF" w:rsidP="00591FFA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557C39">
        <w:rPr>
          <w:b/>
          <w:sz w:val="24"/>
          <w:szCs w:val="24"/>
        </w:rPr>
        <w:t xml:space="preserve">dalla rilevazione del Credito Art Bonus per € </w:t>
      </w:r>
      <w:r w:rsidR="00AD7216" w:rsidRPr="00557C39">
        <w:rPr>
          <w:b/>
          <w:sz w:val="24"/>
          <w:szCs w:val="24"/>
        </w:rPr>
        <w:t>20.333</w:t>
      </w:r>
      <w:r w:rsidRPr="00557C39">
        <w:rPr>
          <w:b/>
          <w:sz w:val="24"/>
          <w:szCs w:val="24"/>
        </w:rPr>
        <w:t xml:space="preserve">,00 relativo al contributo corrisposto al Museo del Bargello ammontante per </w:t>
      </w:r>
      <w:r w:rsidR="00EA2777" w:rsidRPr="00557C39">
        <w:rPr>
          <w:b/>
          <w:sz w:val="24"/>
          <w:szCs w:val="24"/>
        </w:rPr>
        <w:t xml:space="preserve">questo esercizio a  € </w:t>
      </w:r>
      <w:r w:rsidR="00AD7216" w:rsidRPr="00557C39">
        <w:rPr>
          <w:b/>
          <w:sz w:val="24"/>
          <w:szCs w:val="24"/>
        </w:rPr>
        <w:t>50</w:t>
      </w:r>
      <w:r w:rsidR="00EA2777" w:rsidRPr="00557C39">
        <w:rPr>
          <w:b/>
          <w:sz w:val="24"/>
          <w:szCs w:val="24"/>
        </w:rPr>
        <w:t>.000,00;</w:t>
      </w:r>
    </w:p>
    <w:p w:rsidR="00EA2777" w:rsidRDefault="008E1DBF" w:rsidP="008E1DBF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EA2777">
        <w:rPr>
          <w:b/>
          <w:sz w:val="24"/>
          <w:szCs w:val="24"/>
        </w:rPr>
        <w:t>dal riaddebito delle spese condominiale sostenute dalla nostra Fondazione e imputate ai cond</w:t>
      </w:r>
      <w:r w:rsidRPr="00EA2777">
        <w:rPr>
          <w:b/>
          <w:sz w:val="24"/>
          <w:szCs w:val="24"/>
        </w:rPr>
        <w:t>o</w:t>
      </w:r>
      <w:r w:rsidRPr="00EA2777">
        <w:rPr>
          <w:b/>
          <w:sz w:val="24"/>
          <w:szCs w:val="24"/>
        </w:rPr>
        <w:t xml:space="preserve">mini per € </w:t>
      </w:r>
      <w:r w:rsidR="00AD7216">
        <w:rPr>
          <w:b/>
          <w:sz w:val="24"/>
          <w:szCs w:val="24"/>
        </w:rPr>
        <w:t>8.193,58</w:t>
      </w:r>
      <w:r w:rsidR="00EA2777">
        <w:rPr>
          <w:b/>
          <w:sz w:val="24"/>
          <w:szCs w:val="24"/>
        </w:rPr>
        <w:t>;</w:t>
      </w:r>
    </w:p>
    <w:p w:rsidR="00557C39" w:rsidRDefault="00557C39" w:rsidP="008E1DBF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interessi attivi per </w:t>
      </w:r>
      <w:r w:rsidRPr="00EA2777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 xml:space="preserve"> 0,11;</w:t>
      </w:r>
    </w:p>
    <w:p w:rsidR="00557C39" w:rsidRPr="00EA2777" w:rsidRDefault="00557C39" w:rsidP="00557C39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degli utilizzi dei Fondi accantonamento spese future e perdite su titoli per € 60.372,04</w:t>
      </w:r>
    </w:p>
    <w:p w:rsidR="008E1DBF" w:rsidRDefault="008E1DBF" w:rsidP="008E1DBF">
      <w:pPr>
        <w:pStyle w:val="Paragrafoelenco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EA2777">
        <w:rPr>
          <w:b/>
          <w:sz w:val="24"/>
          <w:szCs w:val="24"/>
        </w:rPr>
        <w:t>dalle spese sostenute per gli interventi di ristrutturazione degli immobili di San Sepolcro e di E</w:t>
      </w:r>
      <w:r w:rsidRPr="00EA2777">
        <w:rPr>
          <w:b/>
          <w:sz w:val="24"/>
          <w:szCs w:val="24"/>
        </w:rPr>
        <w:t>m</w:t>
      </w:r>
      <w:r w:rsidRPr="00EA2777">
        <w:rPr>
          <w:b/>
          <w:sz w:val="24"/>
          <w:szCs w:val="24"/>
        </w:rPr>
        <w:t>poli, capitalizzati in quanto i</w:t>
      </w:r>
      <w:r w:rsidR="00AD7216">
        <w:rPr>
          <w:b/>
          <w:sz w:val="24"/>
          <w:szCs w:val="24"/>
        </w:rPr>
        <w:t>ncrementali del relativo valore, per € 25.460,80</w:t>
      </w:r>
      <w:r w:rsidR="00557C39">
        <w:rPr>
          <w:b/>
          <w:sz w:val="24"/>
          <w:szCs w:val="24"/>
        </w:rPr>
        <w:t>;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 xml:space="preserve">Pertanto il totale delle Rendite e delle Entrate ammonta a € </w:t>
      </w:r>
      <w:r w:rsidR="00557C39">
        <w:rPr>
          <w:b/>
          <w:sz w:val="24"/>
          <w:szCs w:val="24"/>
        </w:rPr>
        <w:t>319.335,39.</w:t>
      </w: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</w:p>
    <w:p w:rsidR="008E1DBF" w:rsidRPr="008E1DBF" w:rsidRDefault="008E1DBF" w:rsidP="008E1DBF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SPESE ed USCITE</w:t>
      </w:r>
    </w:p>
    <w:p w:rsidR="004E4310" w:rsidRDefault="008E1DBF" w:rsidP="004E4310">
      <w:pPr>
        <w:suppressAutoHyphens w:val="0"/>
        <w:autoSpaceDN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E1DBF">
        <w:rPr>
          <w:b/>
          <w:sz w:val="24"/>
          <w:szCs w:val="24"/>
        </w:rPr>
        <w:t>Le Uscite e le Spese, tutte ineren</w:t>
      </w:r>
      <w:r w:rsidR="003C6298">
        <w:rPr>
          <w:b/>
          <w:sz w:val="24"/>
          <w:szCs w:val="24"/>
        </w:rPr>
        <w:t xml:space="preserve">ti all’attività istituzionale </w:t>
      </w:r>
      <w:r w:rsidR="004E4310">
        <w:rPr>
          <w:b/>
          <w:sz w:val="24"/>
          <w:szCs w:val="24"/>
        </w:rPr>
        <w:t>sono così costituite:</w:t>
      </w:r>
    </w:p>
    <w:p w:rsidR="004E4310" w:rsidRDefault="004E4310">
      <w:pPr>
        <w:jc w:val="both"/>
        <w:rPr>
          <w:b/>
          <w:sz w:val="24"/>
          <w:szCs w:val="24"/>
        </w:rPr>
      </w:pP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4815"/>
        <w:gridCol w:w="3260"/>
      </w:tblGrid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Oneri per attività istituzionali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</w:t>
            </w:r>
            <w:r w:rsidR="00557C39">
              <w:rPr>
                <w:b/>
                <w:sz w:val="24"/>
                <w:szCs w:val="24"/>
              </w:rPr>
              <w:t>53.492,00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Borse di studio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</w:t>
            </w:r>
            <w:r w:rsidR="0093068B">
              <w:rPr>
                <w:b/>
                <w:sz w:val="24"/>
                <w:szCs w:val="24"/>
              </w:rPr>
              <w:t>16.800,00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Manutenzione immobili di proprietà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€        36.001,01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Oneri gestione immobili S. Sepolcro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  </w:t>
            </w:r>
            <w:r w:rsidR="00557C39">
              <w:rPr>
                <w:b/>
                <w:sz w:val="24"/>
                <w:szCs w:val="24"/>
              </w:rPr>
              <w:t>12.377,54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Oneri gestione immobili Empoli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  </w:t>
            </w:r>
            <w:r w:rsidR="00557C39">
              <w:rPr>
                <w:b/>
                <w:sz w:val="24"/>
                <w:szCs w:val="24"/>
              </w:rPr>
              <w:t>21.248,49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Ammortamenti immobilizzazioni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  </w:t>
            </w:r>
            <w:r w:rsidR="00557C39">
              <w:rPr>
                <w:b/>
                <w:sz w:val="24"/>
                <w:szCs w:val="24"/>
              </w:rPr>
              <w:t>5.997,46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Generali diverse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</w:t>
            </w:r>
            <w:r w:rsidR="00557C39">
              <w:rPr>
                <w:b/>
                <w:sz w:val="24"/>
                <w:szCs w:val="24"/>
              </w:rPr>
              <w:t>91.312,77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Interessi e oneri finanziari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   </w:t>
            </w:r>
            <w:r w:rsidR="00557C39">
              <w:rPr>
                <w:b/>
                <w:sz w:val="24"/>
                <w:szCs w:val="24"/>
              </w:rPr>
              <w:t>13.225,18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4E4310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Imposte a carico dell’esercizio</w:t>
            </w:r>
          </w:p>
        </w:tc>
        <w:tc>
          <w:tcPr>
            <w:tcW w:w="3260" w:type="dxa"/>
          </w:tcPr>
          <w:p w:rsidR="004E4310" w:rsidRPr="008D1FFD" w:rsidRDefault="004E4310" w:rsidP="00591FFA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€          9.625,00</w:t>
            </w:r>
          </w:p>
        </w:tc>
      </w:tr>
      <w:tr w:rsidR="004E4310" w:rsidRPr="008D1FFD" w:rsidTr="00591FFA">
        <w:tc>
          <w:tcPr>
            <w:tcW w:w="4815" w:type="dxa"/>
          </w:tcPr>
          <w:p w:rsidR="004E4310" w:rsidRPr="008D1FFD" w:rsidRDefault="00764C78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Acc.to al Fondo manutenzioni straordinarie</w:t>
            </w:r>
          </w:p>
        </w:tc>
        <w:tc>
          <w:tcPr>
            <w:tcW w:w="3260" w:type="dxa"/>
          </w:tcPr>
          <w:p w:rsidR="004E4310" w:rsidRPr="008D1FFD" w:rsidRDefault="004E4310" w:rsidP="00764C7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</w:t>
            </w:r>
            <w:r w:rsidR="00764C78">
              <w:rPr>
                <w:b/>
                <w:sz w:val="24"/>
                <w:szCs w:val="24"/>
              </w:rPr>
              <w:t xml:space="preserve">  </w:t>
            </w:r>
            <w:r w:rsidRPr="008D1FFD">
              <w:rPr>
                <w:b/>
                <w:sz w:val="24"/>
                <w:szCs w:val="24"/>
              </w:rPr>
              <w:t xml:space="preserve">   </w:t>
            </w:r>
            <w:r w:rsidR="00764C78">
              <w:rPr>
                <w:b/>
                <w:sz w:val="24"/>
                <w:szCs w:val="24"/>
              </w:rPr>
              <w:t>2</w:t>
            </w:r>
            <w:r w:rsidR="00557C39">
              <w:rPr>
                <w:b/>
                <w:sz w:val="24"/>
                <w:szCs w:val="24"/>
              </w:rPr>
              <w:t>0.0</w:t>
            </w:r>
            <w:r w:rsidR="00764C78">
              <w:rPr>
                <w:b/>
                <w:sz w:val="24"/>
                <w:szCs w:val="24"/>
              </w:rPr>
              <w:t>00</w:t>
            </w:r>
            <w:r w:rsidR="00557C39">
              <w:rPr>
                <w:b/>
                <w:sz w:val="24"/>
                <w:szCs w:val="24"/>
              </w:rPr>
              <w:t>,</w:t>
            </w:r>
            <w:r w:rsidR="00764C78">
              <w:rPr>
                <w:b/>
                <w:sz w:val="24"/>
                <w:szCs w:val="24"/>
              </w:rPr>
              <w:t>00</w:t>
            </w:r>
          </w:p>
        </w:tc>
      </w:tr>
      <w:tr w:rsidR="00764C78" w:rsidRPr="008D1FFD" w:rsidTr="00591FFA">
        <w:tc>
          <w:tcPr>
            <w:tcW w:w="4815" w:type="dxa"/>
          </w:tcPr>
          <w:p w:rsidR="00764C78" w:rsidRPr="008D1FFD" w:rsidRDefault="00764C78" w:rsidP="00591FFA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>Per un totale di</w:t>
            </w:r>
          </w:p>
        </w:tc>
        <w:tc>
          <w:tcPr>
            <w:tcW w:w="3260" w:type="dxa"/>
          </w:tcPr>
          <w:p w:rsidR="00764C78" w:rsidRPr="008D1FFD" w:rsidRDefault="00764C78" w:rsidP="00764C7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D1FFD">
              <w:rPr>
                <w:b/>
                <w:sz w:val="24"/>
                <w:szCs w:val="24"/>
              </w:rPr>
              <w:t xml:space="preserve">€     </w:t>
            </w:r>
            <w:r>
              <w:rPr>
                <w:b/>
                <w:sz w:val="24"/>
                <w:szCs w:val="24"/>
              </w:rPr>
              <w:t>280.079,45</w:t>
            </w:r>
          </w:p>
        </w:tc>
      </w:tr>
    </w:tbl>
    <w:p w:rsidR="004E4310" w:rsidRDefault="004E4310" w:rsidP="004E4310">
      <w:pPr>
        <w:jc w:val="both"/>
        <w:rPr>
          <w:b/>
          <w:sz w:val="24"/>
          <w:szCs w:val="24"/>
        </w:rPr>
      </w:pPr>
    </w:p>
    <w:p w:rsidR="004E4310" w:rsidRDefault="004E4310" w:rsidP="004E43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8D1FFD">
        <w:rPr>
          <w:b/>
          <w:sz w:val="24"/>
          <w:szCs w:val="24"/>
        </w:rPr>
        <w:t xml:space="preserve">’avanzo di esercizio 2019 , costituito dalla differenza fra le Rendite e le Spese, ammonta a € </w:t>
      </w:r>
      <w:r w:rsidR="00764C78">
        <w:rPr>
          <w:b/>
          <w:sz w:val="24"/>
          <w:szCs w:val="24"/>
        </w:rPr>
        <w:t>3</w:t>
      </w:r>
      <w:r w:rsidR="0093068B">
        <w:rPr>
          <w:b/>
          <w:sz w:val="24"/>
          <w:szCs w:val="24"/>
        </w:rPr>
        <w:t>9.255,94</w:t>
      </w:r>
      <w:r w:rsidRPr="008D1FFD">
        <w:rPr>
          <w:b/>
          <w:sz w:val="24"/>
          <w:szCs w:val="24"/>
        </w:rPr>
        <w:t>.</w:t>
      </w:r>
    </w:p>
    <w:p w:rsidR="0093068B" w:rsidRPr="0093068B" w:rsidRDefault="0093068B" w:rsidP="004E4310">
      <w:pPr>
        <w:jc w:val="both"/>
        <w:rPr>
          <w:bCs/>
          <w:sz w:val="24"/>
          <w:szCs w:val="24"/>
        </w:rPr>
      </w:pPr>
    </w:p>
    <w:p w:rsidR="0093068B" w:rsidRPr="0093068B" w:rsidRDefault="0093068B" w:rsidP="004E4310">
      <w:pPr>
        <w:jc w:val="both"/>
        <w:rPr>
          <w:bCs/>
          <w:sz w:val="24"/>
          <w:szCs w:val="24"/>
        </w:rPr>
      </w:pPr>
      <w:r w:rsidRPr="0093068B">
        <w:rPr>
          <w:bCs/>
          <w:sz w:val="24"/>
          <w:szCs w:val="24"/>
        </w:rPr>
        <w:t>Il Presidente</w:t>
      </w:r>
    </w:p>
    <w:p w:rsidR="0093068B" w:rsidRPr="0093068B" w:rsidRDefault="0093068B" w:rsidP="004E4310">
      <w:pPr>
        <w:jc w:val="both"/>
        <w:rPr>
          <w:bCs/>
          <w:sz w:val="24"/>
          <w:szCs w:val="24"/>
        </w:rPr>
      </w:pPr>
      <w:r w:rsidRPr="0093068B">
        <w:rPr>
          <w:bCs/>
          <w:sz w:val="24"/>
          <w:szCs w:val="24"/>
        </w:rPr>
        <w:t>(Dott. Sergio Chiostri)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6"/>
        <w:gridCol w:w="2080"/>
        <w:gridCol w:w="300"/>
        <w:gridCol w:w="1880"/>
        <w:gridCol w:w="280"/>
        <w:gridCol w:w="1980"/>
      </w:tblGrid>
      <w:tr w:rsidR="00336219" w:rsidRPr="00336219" w:rsidTr="00336219">
        <w:trPr>
          <w:trHeight w:val="3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1" w:name="RANGE!A1:G39"/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SITUAZIONE PATRIMONIALE</w:t>
            </w:r>
            <w:bookmarkEnd w:id="1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336219" w:rsidRPr="00336219" w:rsidTr="00336219">
        <w:trPr>
          <w:trHeight w:val="4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ATTIVITA’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DIFF.</w:t>
            </w:r>
          </w:p>
        </w:tc>
      </w:tr>
      <w:tr w:rsidR="00336219" w:rsidRPr="00336219" w:rsidTr="00336219">
        <w:trPr>
          <w:trHeight w:val="4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336219" w:rsidRPr="00336219" w:rsidTr="00336219">
        <w:trPr>
          <w:trHeight w:val="4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Immobilizzazioni Materiali e Immat</w:t>
            </w: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e</w:t>
            </w: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riali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336219" w:rsidRPr="00336219" w:rsidTr="00336219">
        <w:trPr>
          <w:trHeight w:val="4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Costi di impianto e di ampliamento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5.562,67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5.562,67 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5.562,67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5.562,67 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Immobilizzazioni Materiali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Inmmobili</w:t>
            </w:r>
            <w:proofErr w:type="spellEnd"/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Empoli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1.957.195,72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1.957.195,72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-  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Immobili Sansepolcro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2.161.843,48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2.292.382,68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</w:t>
            </w: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130.539,20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Mobili a arredi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27.220,48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27.220,48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-   </w:t>
            </w:r>
          </w:p>
        </w:tc>
      </w:tr>
      <w:tr w:rsidR="00336219" w:rsidRPr="00336219" w:rsidTr="00336219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Macchine uff. elettroniche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12.229,35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12.229,35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-  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4.158.489,03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4.289.028,23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A23D6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</w:t>
            </w:r>
            <w:r w:rsidR="00A23D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130.539,20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Disponibilità Finanziarie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33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Banche e Cassa: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UBI Banca c/c 429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35.382,77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22.348,22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13.034,55 </w:t>
            </w:r>
          </w:p>
        </w:tc>
      </w:tr>
      <w:tr w:rsidR="00336219" w:rsidRPr="00336219" w:rsidTr="00336219">
        <w:trPr>
          <w:trHeight w:val="26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UBI Banca c/c 93616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-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458,49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458,49 </w:t>
            </w:r>
          </w:p>
        </w:tc>
      </w:tr>
      <w:tr w:rsidR="00336219" w:rsidRPr="00336219" w:rsidTr="00336219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UBI Banca c/c 508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-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1.416,44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1.416,44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35.382,77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24.223,15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11.159,62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Titoli: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UBI Banca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-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25.000,00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25.000,00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-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25.000,00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25.000,00 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Crediti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Clienti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21.689,64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11.663,50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10.026,14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Credito d'imposta Art Bonus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47.609,54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36.247,54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11.362,00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Credito IRES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-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2.681,60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2.681,60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Crediti diversi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1.848,60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2.091,54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242,94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Depositi cauzionali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41,78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41,78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-   </w:t>
            </w: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Credito Fornitori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1.165,65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1.165,65 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72.355,21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52.725,96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19.629,25 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36219" w:rsidRPr="00336219" w:rsidTr="0033621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362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Ratei e risconti attivi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Risconti attivi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416,48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365,63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50,85 </w:t>
            </w:r>
          </w:p>
        </w:tc>
      </w:tr>
      <w:tr w:rsidR="00336219" w:rsidRPr="00336219" w:rsidTr="00336219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416,48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365,63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50,85 </w:t>
            </w:r>
          </w:p>
        </w:tc>
      </w:tr>
      <w:tr w:rsidR="00336219" w:rsidRPr="00336219" w:rsidTr="00336219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36219" w:rsidRPr="00336219" w:rsidTr="00336219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ATTIVITA'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4.272.206,16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4.391.342,97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19" w:rsidRPr="00336219" w:rsidRDefault="00336219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6219" w:rsidRPr="00336219" w:rsidRDefault="00A23D6E" w:rsidP="0033621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</w:t>
            </w:r>
            <w:r w:rsidR="00336219" w:rsidRPr="003362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119.136,81 </w:t>
            </w:r>
          </w:p>
        </w:tc>
      </w:tr>
    </w:tbl>
    <w:p w:rsidR="004E4310" w:rsidRDefault="004E4310">
      <w:pPr>
        <w:jc w:val="both"/>
        <w:rPr>
          <w:b/>
          <w:sz w:val="24"/>
          <w:szCs w:val="24"/>
        </w:rPr>
      </w:pPr>
    </w:p>
    <w:tbl>
      <w:tblPr>
        <w:tblW w:w="11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2320"/>
        <w:gridCol w:w="220"/>
        <w:gridCol w:w="1800"/>
        <w:gridCol w:w="280"/>
        <w:gridCol w:w="1960"/>
      </w:tblGrid>
      <w:tr w:rsidR="00EE3D35" w:rsidRPr="00EE3D35" w:rsidTr="00EE3D35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bookmarkStart w:id="2" w:name="RANGE!A3:F53"/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PASSIVITA’</w:t>
            </w:r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DIFF.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51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Fondo ammortamento immobilizzazioni mat</w:t>
            </w: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e</w:t>
            </w: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riali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Fondo amm.to macchine ufficio </w:t>
            </w:r>
            <w:proofErr w:type="spellStart"/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</w:t>
            </w:r>
            <w:proofErr w:type="spellEnd"/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12.229,35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12.229,35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-  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Fondo amm.to mobili ed arredi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8.344,80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5.128,67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3.216,13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20.574,15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17.358,02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3.216,13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Fondi accantonamento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accantonamento perdite su titoli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    -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2.000,00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accantonamento rischi e perdite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    -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60.000,00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60.000,00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acca. attività istituzionali future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70.000,00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70.000,00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-  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acca. manutenzioni straordinarie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20.000,00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757513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 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20.000,00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90.000,00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132.000,00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</w:t>
            </w:r>
            <w:r w:rsidR="007575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2.000,00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Debiti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Fornitori c/fatture da ricevere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2.377,98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65.080,05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62.702,07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Ritenute d'acconto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620,00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672,00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 52,00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Depositi cauzionali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33.290,00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33.250,00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40,00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debiti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93,21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659,67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566,46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Caparre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    -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10.000,00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10.000,00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36.381,19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109.661,72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73.280,53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Debiti verso Istituti di credito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Mutuo Banca Etruria ora UBI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184.448,62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215.422,48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30.973,86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Finanziamento UBI Banca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43.756,31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55.284,69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11.528,38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228.204,93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270.707,17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42.502,24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Ratei e risconti passivi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Ratei passivi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2.674,51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3.123,62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449,11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Risconti passivi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      -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-  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2.674,51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3.123,62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   449,11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Imposte a carico esercizio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9.625,00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13.002,00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3.377,00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9.625,00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13.002,00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  3.377,00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7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7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PASSIVITA'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387.459,78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545.852,53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178.392,75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E3D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Netto patrimoniale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di dotazione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500.000,00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500.000,00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-  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Altre riserve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3.300.468,32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3.205.273,46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95.194,86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Avanzo d'esercizio al 31 dicembre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39.255,94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95.194,86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 55.938,92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Fondo eredità pervenute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45.022,12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45.022,12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   -  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Netto patrimoniale al 31 dicembre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3.884.746,38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3.845.490,44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39.255,94 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E3D35" w:rsidRPr="00EE3D35" w:rsidTr="00EE3D35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7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E3D35" w:rsidRPr="00EE3D35" w:rsidTr="00EE3D35">
        <w:trPr>
          <w:trHeight w:val="27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TOTALE A PAREGGIO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4.272.206,16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</w:t>
            </w: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4.391.342,97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35" w:rsidRPr="00EE3D35" w:rsidRDefault="00EE3D35" w:rsidP="00EE3D3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D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139.136,81 </w:t>
            </w:r>
          </w:p>
        </w:tc>
      </w:tr>
    </w:tbl>
    <w:p w:rsidR="00EE3D35" w:rsidRDefault="00EE3D35">
      <w:pPr>
        <w:jc w:val="both"/>
        <w:rPr>
          <w:b/>
          <w:sz w:val="24"/>
          <w:szCs w:val="24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1530"/>
        <w:gridCol w:w="258"/>
        <w:gridCol w:w="1530"/>
        <w:gridCol w:w="278"/>
        <w:gridCol w:w="1430"/>
      </w:tblGrid>
      <w:tr w:rsidR="00591FFA" w:rsidRPr="00591FFA" w:rsidTr="00591FFA">
        <w:trPr>
          <w:trHeight w:val="405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RENDICONTO ECONOMICO FINANZIARIO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37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SPESE ED USCITE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2019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DIFF.</w:t>
            </w:r>
          </w:p>
        </w:tc>
      </w:tr>
      <w:tr w:rsidR="00591FFA" w:rsidRPr="00591FFA" w:rsidTr="00591FFA">
        <w:trPr>
          <w:trHeight w:val="37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Oneri per attività Istituzionale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Erogazioni Art bonus Museo Il Bargello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50.000,00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25.000,00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25.000,00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sostenute a favore del Museo Il Bargello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3.492,00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3.492,00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Borse di Studio Scuola Normale di Pisa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16.800,00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16.800,00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70.292,00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25.000,00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45.292,00 </w:t>
            </w:r>
          </w:p>
        </w:tc>
      </w:tr>
      <w:tr w:rsidR="00591FFA" w:rsidRPr="00591FFA" w:rsidTr="00591FFA">
        <w:trPr>
          <w:trHeight w:val="22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Manutenzioni immobili di proprietà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Manutenzioni e </w:t>
            </w:r>
            <w:proofErr w:type="spellStart"/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ristrutt</w:t>
            </w:r>
            <w:proofErr w:type="spellEnd"/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fabbricati San Sepolcro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26.786,20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138.348,16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111.561,96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Manutenzioni e </w:t>
            </w:r>
            <w:proofErr w:type="spellStart"/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ristrutt</w:t>
            </w:r>
            <w:proofErr w:type="spellEnd"/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fabbricati Empoli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9.214,81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45.210,78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35.995,97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36.001,01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183.558,94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147.557,93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Oneri gestione immobili San Sepolcro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Utenze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2.526,60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2.016,69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509,91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condominiali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85,97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659,67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573,70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IMU/TASI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6.534,17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6.949,45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415,28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Assicurazioni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1.424,20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1.436,00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11,80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Imposte e tasse diverse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1.806,60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1.806,60 </w:t>
            </w:r>
          </w:p>
        </w:tc>
      </w:tr>
      <w:tr w:rsidR="00591FFA" w:rsidRPr="00591FFA" w:rsidTr="00591FFA">
        <w:trPr>
          <w:trHeight w:val="28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Contributo di bonifica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727,22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727,22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12.377,54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11.789,03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588,51 </w:t>
            </w:r>
          </w:p>
        </w:tc>
      </w:tr>
      <w:tr w:rsidR="00591FFA" w:rsidRPr="00591FFA" w:rsidTr="00591FFA">
        <w:trPr>
          <w:trHeight w:val="22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2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  <w:r w:rsidRPr="00591FFA">
              <w:rPr>
                <w:rFonts w:ascii="Wingdings" w:eastAsia="Times New Roman" w:hAnsi="Times New Roman" w:cs="Arial"/>
                <w:sz w:val="20"/>
                <w:szCs w:val="20"/>
                <w:lang w:eastAsia="it-IT"/>
              </w:rPr>
              <w:lastRenderedPageBreak/>
              <w:t>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Oneri gestione immobili Empoli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Utenze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5.424,11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4.699,98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724,13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IMU/TASI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7.184,00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7.165,66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18,34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Assicurazioni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1.439,95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1.647,85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207,90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condominiali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616,40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889,74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273,34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Gestione immobili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3.660,00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2.745,00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915,00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Imposte e tasse diverse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2.924,03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2.924,03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Wingdings" w:eastAsia="Times New Roman" w:hAnsi="Wingdings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21.248,49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17.148,23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4.100,26 </w:t>
            </w:r>
          </w:p>
        </w:tc>
      </w:tr>
      <w:tr w:rsidR="00591FFA" w:rsidRPr="00591FFA" w:rsidTr="00591FFA">
        <w:trPr>
          <w:trHeight w:val="24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Generali diverse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Compensi a terzi per consulenze amministrative e f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7.866,56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7.612,80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253,76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Compensi per spese legali e notarili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2.108,08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2.680,18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572,10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Compensi a consulenti tecnici e diversi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2.729,80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3.570,00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840,20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postali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27,63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114,23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86,60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bancarie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780,96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1.614,83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833,87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Imposte e tasse diverse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170,73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5.120,11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4.949,38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Multe e ammende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19,24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2.600,05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2.580,81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Sopravvenienze, insussistenze e </w:t>
            </w:r>
            <w:proofErr w:type="spellStart"/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arrot.passivi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1.725,81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531,49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1.194,32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varie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852,55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785,20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67,35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Provvigioni su locazioni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4.819,00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2.074,00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2.745,00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Locazioni uffici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4.212,41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4.212,41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Minusvalenze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66.000,00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66.000,00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diversi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210,00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210,00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91.312,77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26.912,89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64.399,88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 Immobilizzazioni materiali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3.216,13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3.158,67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57,46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 Immobilizzazioni immateriali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2.781,33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2.781,33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 xml:space="preserve">Totale Ammortamenti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5.997,46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3.158,67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2.838,79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Accantonamenti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Accantonamento al F.do perdite su titoli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2.000,00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2.000,00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Accantonamento al F.do rischi e perdite future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60.000,00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60.000,00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Accantonamento al F.do attività istituzionale futu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70.000,00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70.000,00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Accantonamento al F.do manutenzioni straordinarie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20.000,00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20.000,00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132.000,00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132.000,00 </w:t>
            </w:r>
          </w:p>
        </w:tc>
      </w:tr>
      <w:tr w:rsidR="00591FFA" w:rsidRPr="00591FFA" w:rsidTr="00591FFA">
        <w:trPr>
          <w:trHeight w:val="24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Interessi e oneri finanziari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mutuo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11.718,06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12.904,89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1.186,83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su finanziamento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1.135,05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609,19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525,86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Perdite su titolo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372,07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372,07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13.225,18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13.514,08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288,90 </w:t>
            </w:r>
          </w:p>
        </w:tc>
      </w:tr>
      <w:tr w:rsidR="00591FFA" w:rsidRPr="00591FFA" w:rsidTr="00591FFA">
        <w:trPr>
          <w:trHeight w:val="22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Imposte dell'esercizio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9.625,00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13.002,00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3.377,00 </w:t>
            </w:r>
          </w:p>
        </w:tc>
      </w:tr>
      <w:tr w:rsidR="00591FFA" w:rsidRPr="00591FFA" w:rsidTr="00591FFA">
        <w:trPr>
          <w:trHeight w:val="25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9.625,00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13.002,00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3.377,00 </w:t>
            </w:r>
          </w:p>
        </w:tc>
      </w:tr>
      <w:tr w:rsidR="00591FFA" w:rsidRPr="00591FFA" w:rsidTr="00591FFA">
        <w:trPr>
          <w:trHeight w:val="22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1FFA" w:rsidRPr="00591FFA" w:rsidTr="00591FFA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TOTALE SPESE ED USCITE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280.079,45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426.083,84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</w:t>
            </w: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166.004,39 </w:t>
            </w:r>
          </w:p>
        </w:tc>
      </w:tr>
      <w:tr w:rsidR="00591FFA" w:rsidRPr="00591FFA" w:rsidTr="00591FFA">
        <w:trPr>
          <w:trHeight w:val="13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78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Avanzo d'esercizio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39.255,94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95.194,86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55.938,92 </w:t>
            </w:r>
          </w:p>
        </w:tc>
      </w:tr>
      <w:tr w:rsidR="00591FFA" w:rsidRPr="00591FFA" w:rsidTr="00591FFA">
        <w:trPr>
          <w:trHeight w:val="1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1FFA" w:rsidRPr="00591FFA" w:rsidTr="00591FFA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1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A PAREGGIO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490311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="00591FFA"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319.335,39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490311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="00591FFA"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521.278,70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A" w:rsidRPr="00591FFA" w:rsidRDefault="00591FFA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FFA" w:rsidRPr="00591FFA" w:rsidRDefault="00490311" w:rsidP="00591FF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</w:t>
            </w:r>
            <w:r w:rsidR="00591FFA" w:rsidRPr="00591F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221.943,31 </w:t>
            </w:r>
          </w:p>
        </w:tc>
      </w:tr>
    </w:tbl>
    <w:p w:rsidR="00591FFA" w:rsidRDefault="00591FFA">
      <w:pPr>
        <w:jc w:val="both"/>
        <w:rPr>
          <w:b/>
          <w:sz w:val="24"/>
          <w:szCs w:val="24"/>
        </w:rPr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360"/>
        <w:gridCol w:w="1380"/>
        <w:gridCol w:w="360"/>
        <w:gridCol w:w="1420"/>
        <w:gridCol w:w="280"/>
        <w:gridCol w:w="1400"/>
      </w:tblGrid>
      <w:tr w:rsidR="009E33FB" w:rsidRPr="009E33FB" w:rsidTr="009E33FB">
        <w:trPr>
          <w:trHeight w:val="4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9E33F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RENDITE ED ENTRATE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9E33F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9E33F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ANNO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9E33F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DIFF.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Locazioni attive immobili San Sepolcro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88.403,10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88.219,86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183,24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Locazioni attive immobili San Sepolcro SIL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-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2.063,61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2.063,61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Locazioni attive immobili Empoli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98.515,88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94.907,60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3.608,28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conto interessi (Mutuo)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12.051,80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13.773,04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1.721,24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Plusvalenze, sopravvenienze e arrotondamenti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6.005,05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125.132,51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119.127,46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Proventi per agevolazioni fiscali Art Bonus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20.333,00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16.250,00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4.083,00 </w:t>
            </w: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Rimborso spese fabbricati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8.193,58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6.449,47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1.744,11 </w:t>
            </w: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su titoli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-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2,97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         2,97 </w:t>
            </w: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8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attivi bancari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0,11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0,11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233.502,52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346.799,06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113.296,54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fondo rischi e perdite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60.000,00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60.000,00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Fondo perdite su titoli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372,07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372,07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Incrementi patrimoniali </w:t>
            </w:r>
            <w:proofErr w:type="spellStart"/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ristrutt</w:t>
            </w:r>
            <w:proofErr w:type="spellEnd"/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immobili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25.460,80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174.479,64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149.018,84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85.832,87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174.479,64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 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88.646,77 </w:t>
            </w:r>
          </w:p>
        </w:tc>
      </w:tr>
      <w:tr w:rsidR="009E33FB" w:rsidRPr="009E33FB" w:rsidTr="009E33F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E33FB" w:rsidRPr="009E33FB" w:rsidTr="009E33FB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3FB" w:rsidRPr="009E33FB" w:rsidTr="009E33FB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9E33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RENDITE ED ENTRATE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319.335,39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521.278,70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3FB" w:rsidRPr="009E33FB" w:rsidRDefault="009E33FB" w:rsidP="009E33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-€ </w:t>
            </w:r>
            <w:r w:rsidRPr="009E33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201.943,31 </w:t>
            </w:r>
          </w:p>
        </w:tc>
      </w:tr>
    </w:tbl>
    <w:p w:rsidR="009E33FB" w:rsidRDefault="009E33FB">
      <w:pPr>
        <w:jc w:val="both"/>
        <w:rPr>
          <w:b/>
          <w:sz w:val="24"/>
          <w:szCs w:val="24"/>
        </w:rPr>
      </w:pPr>
    </w:p>
    <w:p w:rsidR="009E33FB" w:rsidRPr="008E1DBF" w:rsidRDefault="009E33FB">
      <w:pPr>
        <w:jc w:val="both"/>
        <w:rPr>
          <w:b/>
          <w:sz w:val="24"/>
          <w:szCs w:val="24"/>
        </w:rPr>
      </w:pPr>
    </w:p>
    <w:sectPr w:rsidR="009E33FB" w:rsidRPr="008E1DBF" w:rsidSect="00696EE2"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8C" w:rsidRDefault="00076B8C">
      <w:pPr>
        <w:spacing w:after="0" w:line="240" w:lineRule="auto"/>
      </w:pPr>
      <w:r>
        <w:separator/>
      </w:r>
    </w:p>
  </w:endnote>
  <w:endnote w:type="continuationSeparator" w:id="0">
    <w:p w:rsidR="00076B8C" w:rsidRDefault="0007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780244"/>
      <w:docPartObj>
        <w:docPartGallery w:val="Page Numbers (Bottom of Page)"/>
        <w:docPartUnique/>
      </w:docPartObj>
    </w:sdtPr>
    <w:sdtEndPr/>
    <w:sdtContent>
      <w:p w:rsidR="00591FFA" w:rsidRDefault="00591F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E5">
          <w:rPr>
            <w:noProof/>
          </w:rPr>
          <w:t>4</w:t>
        </w:r>
        <w:r>
          <w:fldChar w:fldCharType="end"/>
        </w:r>
      </w:p>
    </w:sdtContent>
  </w:sdt>
  <w:p w:rsidR="00591FFA" w:rsidRDefault="00591F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8C" w:rsidRDefault="00076B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6B8C" w:rsidRDefault="0007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D36"/>
    <w:multiLevelType w:val="hybridMultilevel"/>
    <w:tmpl w:val="E8D00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417"/>
    <w:multiLevelType w:val="hybridMultilevel"/>
    <w:tmpl w:val="BCE41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87DF1"/>
    <w:multiLevelType w:val="hybridMultilevel"/>
    <w:tmpl w:val="C26E9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3295D"/>
    <w:multiLevelType w:val="hybridMultilevel"/>
    <w:tmpl w:val="4B042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0865"/>
    <w:multiLevelType w:val="hybridMultilevel"/>
    <w:tmpl w:val="8BE08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1F4"/>
    <w:rsid w:val="00056990"/>
    <w:rsid w:val="00073523"/>
    <w:rsid w:val="00075D3F"/>
    <w:rsid w:val="00076B8C"/>
    <w:rsid w:val="000A3F27"/>
    <w:rsid w:val="000C5242"/>
    <w:rsid w:val="000C6229"/>
    <w:rsid w:val="000C6BF0"/>
    <w:rsid w:val="00123A67"/>
    <w:rsid w:val="001316FC"/>
    <w:rsid w:val="00147FA8"/>
    <w:rsid w:val="00190E23"/>
    <w:rsid w:val="002028AC"/>
    <w:rsid w:val="00206B58"/>
    <w:rsid w:val="00270DEF"/>
    <w:rsid w:val="002F6631"/>
    <w:rsid w:val="00314F8E"/>
    <w:rsid w:val="00330E6E"/>
    <w:rsid w:val="00336219"/>
    <w:rsid w:val="003A6404"/>
    <w:rsid w:val="003C25E8"/>
    <w:rsid w:val="003C6298"/>
    <w:rsid w:val="0041592D"/>
    <w:rsid w:val="00446C5C"/>
    <w:rsid w:val="00490311"/>
    <w:rsid w:val="004E252B"/>
    <w:rsid w:val="004E4310"/>
    <w:rsid w:val="0050637D"/>
    <w:rsid w:val="00516271"/>
    <w:rsid w:val="00524DD5"/>
    <w:rsid w:val="00557C39"/>
    <w:rsid w:val="00591FFA"/>
    <w:rsid w:val="005A0953"/>
    <w:rsid w:val="005B4447"/>
    <w:rsid w:val="005E7F54"/>
    <w:rsid w:val="0062137C"/>
    <w:rsid w:val="00634D87"/>
    <w:rsid w:val="00645FD5"/>
    <w:rsid w:val="00654E1F"/>
    <w:rsid w:val="00696EE2"/>
    <w:rsid w:val="006E2095"/>
    <w:rsid w:val="006F0363"/>
    <w:rsid w:val="007428E5"/>
    <w:rsid w:val="007525BF"/>
    <w:rsid w:val="00757513"/>
    <w:rsid w:val="00764C78"/>
    <w:rsid w:val="007A5A48"/>
    <w:rsid w:val="007B00B2"/>
    <w:rsid w:val="007F16D1"/>
    <w:rsid w:val="00816E93"/>
    <w:rsid w:val="008337B1"/>
    <w:rsid w:val="008D1FFD"/>
    <w:rsid w:val="008D4D01"/>
    <w:rsid w:val="008E1DBF"/>
    <w:rsid w:val="0090577B"/>
    <w:rsid w:val="0093068B"/>
    <w:rsid w:val="009312AB"/>
    <w:rsid w:val="009E33FB"/>
    <w:rsid w:val="009E6319"/>
    <w:rsid w:val="009F07C0"/>
    <w:rsid w:val="00A20DC0"/>
    <w:rsid w:val="00A23D6E"/>
    <w:rsid w:val="00A24599"/>
    <w:rsid w:val="00A46E56"/>
    <w:rsid w:val="00A90F4B"/>
    <w:rsid w:val="00A940BA"/>
    <w:rsid w:val="00AA7354"/>
    <w:rsid w:val="00AC7389"/>
    <w:rsid w:val="00AC793C"/>
    <w:rsid w:val="00AD7216"/>
    <w:rsid w:val="00AE5596"/>
    <w:rsid w:val="00B37C15"/>
    <w:rsid w:val="00BA1E0E"/>
    <w:rsid w:val="00BC77F0"/>
    <w:rsid w:val="00BD11F4"/>
    <w:rsid w:val="00C73E31"/>
    <w:rsid w:val="00C86BBF"/>
    <w:rsid w:val="00CD3116"/>
    <w:rsid w:val="00D43599"/>
    <w:rsid w:val="00D65A72"/>
    <w:rsid w:val="00D76BE2"/>
    <w:rsid w:val="00D866A5"/>
    <w:rsid w:val="00E116CF"/>
    <w:rsid w:val="00E54F8A"/>
    <w:rsid w:val="00E65DAB"/>
    <w:rsid w:val="00E862F7"/>
    <w:rsid w:val="00EA0DA2"/>
    <w:rsid w:val="00EA2777"/>
    <w:rsid w:val="00ED19DD"/>
    <w:rsid w:val="00EE3C8B"/>
    <w:rsid w:val="00EE3D35"/>
    <w:rsid w:val="00EF3879"/>
    <w:rsid w:val="00F25FD2"/>
    <w:rsid w:val="00F427BE"/>
    <w:rsid w:val="00F720E5"/>
    <w:rsid w:val="00F83FA7"/>
    <w:rsid w:val="00F85817"/>
    <w:rsid w:val="00FB4A9A"/>
    <w:rsid w:val="00FD5C6E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D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7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F8E"/>
  </w:style>
  <w:style w:type="paragraph" w:styleId="Pidipagina">
    <w:name w:val="footer"/>
    <w:basedOn w:val="Normale"/>
    <w:link w:val="PidipaginaCarattere"/>
    <w:uiPriority w:val="99"/>
    <w:unhideWhenUsed/>
    <w:rsid w:val="0031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F8E"/>
  </w:style>
  <w:style w:type="table" w:styleId="Grigliatabella">
    <w:name w:val="Table Grid"/>
    <w:basedOn w:val="Tabellanormale"/>
    <w:uiPriority w:val="59"/>
    <w:rsid w:val="0083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D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D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7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F8E"/>
  </w:style>
  <w:style w:type="paragraph" w:styleId="Pidipagina">
    <w:name w:val="footer"/>
    <w:basedOn w:val="Normale"/>
    <w:link w:val="PidipaginaCarattere"/>
    <w:uiPriority w:val="99"/>
    <w:unhideWhenUsed/>
    <w:rsid w:val="0031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F8E"/>
  </w:style>
  <w:style w:type="table" w:styleId="Grigliatabella">
    <w:name w:val="Table Grid"/>
    <w:basedOn w:val="Tabellanormale"/>
    <w:uiPriority w:val="59"/>
    <w:rsid w:val="0083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D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E72-67BE-45C2-A52E-225C1377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utente</cp:lastModifiedBy>
  <cp:revision>12</cp:revision>
  <cp:lastPrinted>2020-08-31T10:21:00Z</cp:lastPrinted>
  <dcterms:created xsi:type="dcterms:W3CDTF">2020-03-02T14:59:00Z</dcterms:created>
  <dcterms:modified xsi:type="dcterms:W3CDTF">2021-03-17T09:39:00Z</dcterms:modified>
</cp:coreProperties>
</file>